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12922" w14:textId="77777777" w:rsidR="0097232E" w:rsidRPr="0097232E" w:rsidRDefault="00E51C8B" w:rsidP="00A52D27">
      <w:pPr>
        <w:pStyle w:val="Titre3"/>
        <w:rPr>
          <w:rFonts w:eastAsia="Times New Roman"/>
          <w:color w:val="0000FF"/>
          <w:u w:val="single"/>
          <w:lang w:eastAsia="fr-FR"/>
        </w:rPr>
      </w:pPr>
      <w:r>
        <w:t>1 an de plan de sobriété AMU, quel bilan ?</w:t>
      </w:r>
      <w:r w:rsidR="0097232E" w:rsidRPr="0097232E">
        <w:rPr>
          <w:rFonts w:eastAsia="Times New Roman"/>
          <w:lang w:eastAsia="fr-FR"/>
        </w:rPr>
        <w:fldChar w:fldCharType="begin"/>
      </w:r>
      <w:r w:rsidR="0097232E" w:rsidRPr="0097232E">
        <w:rPr>
          <w:rFonts w:eastAsia="Times New Roman"/>
          <w:lang w:eastAsia="fr-FR"/>
        </w:rPr>
        <w:instrText xml:space="preserve"> HYPERLINK "https://www.ird.fr/intranet/premier-bilan-du-plan-de-sobriete-energetique-de-lird" </w:instrText>
      </w:r>
      <w:r w:rsidR="0097232E" w:rsidRPr="0097232E">
        <w:rPr>
          <w:rFonts w:eastAsia="Times New Roman"/>
          <w:lang w:eastAsia="fr-FR"/>
        </w:rPr>
        <w:fldChar w:fldCharType="separate"/>
      </w:r>
    </w:p>
    <w:p w14:paraId="0BC3BAB9" w14:textId="77777777" w:rsidR="0097232E" w:rsidRPr="0097232E" w:rsidRDefault="0097232E" w:rsidP="00A52D27">
      <w:pPr>
        <w:pStyle w:val="Titre3"/>
        <w:rPr>
          <w:rFonts w:eastAsia="Times New Roman"/>
          <w:lang w:eastAsia="fr-FR"/>
        </w:rPr>
      </w:pPr>
      <w:r w:rsidRPr="0097232E">
        <w:rPr>
          <w:rFonts w:eastAsia="Times New Roman"/>
          <w:lang w:eastAsia="fr-FR"/>
        </w:rPr>
        <w:fldChar w:fldCharType="end"/>
      </w:r>
      <w:r w:rsidRPr="0097232E">
        <w:rPr>
          <w:rFonts w:eastAsia="Times New Roman"/>
          <w:lang w:eastAsia="fr-FR"/>
        </w:rPr>
        <w:t xml:space="preserve">Premier bilan du plan de sobriété énergétique </w:t>
      </w:r>
      <w:r>
        <w:rPr>
          <w:rFonts w:eastAsia="Times New Roman"/>
          <w:lang w:eastAsia="fr-FR"/>
        </w:rPr>
        <w:t>d’Aix-Marseille Université</w:t>
      </w:r>
    </w:p>
    <w:p w14:paraId="6EDEF59D" w14:textId="77777777" w:rsidR="0097232E" w:rsidRPr="000F5E1E" w:rsidRDefault="0097232E" w:rsidP="00604F33">
      <w:pPr>
        <w:jc w:val="both"/>
        <w:rPr>
          <w:rFonts w:eastAsia="Times New Roman" w:cstheme="minorHAnsi"/>
          <w:lang w:eastAsia="fr-FR"/>
        </w:rPr>
      </w:pPr>
      <w:r w:rsidRPr="000F5E1E">
        <w:rPr>
          <w:rFonts w:eastAsia="Times New Roman" w:cstheme="minorHAnsi"/>
          <w:lang w:eastAsia="fr-FR"/>
        </w:rPr>
        <w:t xml:space="preserve">Un an après l’adoption du plan de sobriété énergétique par </w:t>
      </w:r>
      <w:r w:rsidR="00E51C8B">
        <w:rPr>
          <w:rFonts w:eastAsia="Times New Roman" w:cstheme="minorHAnsi"/>
          <w:lang w:eastAsia="fr-FR"/>
        </w:rPr>
        <w:t>son</w:t>
      </w:r>
      <w:r w:rsidRPr="000F5E1E">
        <w:rPr>
          <w:rFonts w:eastAsia="Times New Roman" w:cstheme="minorHAnsi"/>
          <w:lang w:eastAsia="fr-FR"/>
        </w:rPr>
        <w:t xml:space="preserve"> </w:t>
      </w:r>
      <w:r w:rsidR="00E51C8B">
        <w:rPr>
          <w:rFonts w:eastAsia="Times New Roman" w:cstheme="minorHAnsi"/>
          <w:lang w:eastAsia="fr-FR"/>
        </w:rPr>
        <w:t>c</w:t>
      </w:r>
      <w:r w:rsidRPr="000F5E1E">
        <w:rPr>
          <w:rFonts w:eastAsia="Times New Roman" w:cstheme="minorHAnsi"/>
          <w:lang w:eastAsia="fr-FR"/>
        </w:rPr>
        <w:t xml:space="preserve">onseil d'administration, Aix-Marseille Université </w:t>
      </w:r>
      <w:r w:rsidR="0004392C">
        <w:rPr>
          <w:rFonts w:eastAsia="Times New Roman" w:cstheme="minorHAnsi"/>
          <w:lang w:eastAsia="fr-FR"/>
        </w:rPr>
        <w:t xml:space="preserve">(AMU) </w:t>
      </w:r>
      <w:r w:rsidRPr="000F5E1E">
        <w:rPr>
          <w:rFonts w:eastAsia="Times New Roman" w:cstheme="minorHAnsi"/>
          <w:lang w:eastAsia="fr-FR"/>
        </w:rPr>
        <w:t xml:space="preserve">dresse un bilan des actions entreprises et de leurs résultats sur les consommations d’énergie. </w:t>
      </w:r>
    </w:p>
    <w:p w14:paraId="7A8180E4" w14:textId="77777777" w:rsidR="00E51C8B" w:rsidRDefault="0097232E" w:rsidP="00604F33">
      <w:pPr>
        <w:jc w:val="both"/>
        <w:rPr>
          <w:rFonts w:cstheme="minorHAnsi"/>
          <w:lang w:val="fr" w:eastAsia="fr-FR"/>
        </w:rPr>
      </w:pPr>
      <w:r w:rsidRPr="000F5E1E">
        <w:rPr>
          <w:rFonts w:cstheme="minorHAnsi"/>
          <w:lang w:val="fr" w:eastAsia="fr-FR"/>
        </w:rPr>
        <w:t>Aix-Marseille Université, convaincu</w:t>
      </w:r>
      <w:r w:rsidR="000F5E1E" w:rsidRPr="000F5E1E">
        <w:rPr>
          <w:rFonts w:cstheme="minorHAnsi"/>
          <w:lang w:val="fr" w:eastAsia="fr-FR"/>
        </w:rPr>
        <w:t>e</w:t>
      </w:r>
      <w:r w:rsidRPr="000F5E1E">
        <w:rPr>
          <w:rFonts w:cstheme="minorHAnsi"/>
          <w:lang w:val="fr" w:eastAsia="fr-FR"/>
        </w:rPr>
        <w:t xml:space="preserve"> de l’importance des enjeux</w:t>
      </w:r>
      <w:r w:rsidR="00E51C8B">
        <w:rPr>
          <w:rFonts w:cstheme="minorHAnsi"/>
          <w:lang w:val="fr" w:eastAsia="fr-FR"/>
        </w:rPr>
        <w:t xml:space="preserve"> en matière</w:t>
      </w:r>
      <w:r w:rsidRPr="000F5E1E">
        <w:rPr>
          <w:rFonts w:cstheme="minorHAnsi"/>
          <w:lang w:val="fr" w:eastAsia="fr-FR"/>
        </w:rPr>
        <w:t xml:space="preserve"> de transition écologique, a adopté en décembre 2022 un ambitieux plan de sobriété énergétique, comprenant des actions </w:t>
      </w:r>
      <w:r w:rsidR="00E51C8B">
        <w:rPr>
          <w:rFonts w:cstheme="minorHAnsi"/>
          <w:lang w:val="fr" w:eastAsia="fr-FR"/>
        </w:rPr>
        <w:t>touchant à de nombreux domaines de</w:t>
      </w:r>
      <w:r w:rsidRPr="000F5E1E">
        <w:rPr>
          <w:rFonts w:cstheme="minorHAnsi"/>
          <w:lang w:val="fr" w:eastAsia="fr-FR"/>
        </w:rPr>
        <w:t xml:space="preserve"> la vie de </w:t>
      </w:r>
      <w:r w:rsidR="00E51C8B" w:rsidRPr="000F5E1E">
        <w:rPr>
          <w:rFonts w:cstheme="minorHAnsi"/>
          <w:lang w:val="fr" w:eastAsia="fr-FR"/>
        </w:rPr>
        <w:t>l’</w:t>
      </w:r>
      <w:r w:rsidR="00E51C8B">
        <w:rPr>
          <w:rFonts w:cstheme="minorHAnsi"/>
          <w:lang w:val="fr" w:eastAsia="fr-FR"/>
        </w:rPr>
        <w:t>université</w:t>
      </w:r>
      <w:r w:rsidR="00E51C8B" w:rsidRPr="000F5E1E">
        <w:rPr>
          <w:rFonts w:cstheme="minorHAnsi"/>
          <w:lang w:val="fr" w:eastAsia="fr-FR"/>
        </w:rPr>
        <w:t> </w:t>
      </w:r>
      <w:r w:rsidRPr="000F5E1E">
        <w:rPr>
          <w:rFonts w:cstheme="minorHAnsi"/>
          <w:lang w:val="fr" w:eastAsia="fr-FR"/>
        </w:rPr>
        <w:t xml:space="preserve">: exploitation des bâtiments, gestion des calendriers, </w:t>
      </w:r>
      <w:r w:rsidR="00E51C8B">
        <w:rPr>
          <w:rFonts w:cstheme="minorHAnsi"/>
          <w:lang w:val="fr" w:eastAsia="fr-FR"/>
        </w:rPr>
        <w:t>achats, opérations de</w:t>
      </w:r>
      <w:r w:rsidRPr="000F5E1E">
        <w:rPr>
          <w:rFonts w:cstheme="minorHAnsi"/>
          <w:lang w:val="fr" w:eastAsia="fr-FR"/>
        </w:rPr>
        <w:t xml:space="preserve"> communication, etc. </w:t>
      </w:r>
    </w:p>
    <w:p w14:paraId="553AAA94" w14:textId="77777777" w:rsidR="0097232E" w:rsidRPr="000F5E1E" w:rsidRDefault="00E51C8B" w:rsidP="00604F33">
      <w:pPr>
        <w:jc w:val="both"/>
        <w:rPr>
          <w:rFonts w:cstheme="minorHAnsi"/>
          <w:lang w:val="fr" w:eastAsia="fr-FR"/>
        </w:rPr>
      </w:pPr>
      <w:r>
        <w:rPr>
          <w:rFonts w:cstheme="minorHAnsi"/>
          <w:lang w:val="fr" w:eastAsia="fr-FR"/>
        </w:rPr>
        <w:t>Celles-ci</w:t>
      </w:r>
      <w:r w:rsidR="00E12332">
        <w:rPr>
          <w:rFonts w:cstheme="minorHAnsi"/>
          <w:lang w:val="fr" w:eastAsia="fr-FR"/>
        </w:rPr>
        <w:t xml:space="preserve"> s’avèrent cruciales dans un contexte de dérèglement climatique</w:t>
      </w:r>
      <w:r>
        <w:rPr>
          <w:rFonts w:cstheme="minorHAnsi"/>
          <w:lang w:val="fr" w:eastAsia="fr-FR"/>
        </w:rPr>
        <w:t xml:space="preserve"> et</w:t>
      </w:r>
      <w:r w:rsidR="00E12332">
        <w:rPr>
          <w:rFonts w:cstheme="minorHAnsi"/>
          <w:lang w:val="fr" w:eastAsia="fr-FR"/>
        </w:rPr>
        <w:t xml:space="preserve"> </w:t>
      </w:r>
      <w:r>
        <w:rPr>
          <w:rFonts w:cstheme="minorHAnsi"/>
          <w:lang w:val="fr" w:eastAsia="fr-FR"/>
        </w:rPr>
        <w:t>de fort renchérissement du coût de l’énergie depuis plusieurs années. Fortement engagé, l’établissement se doit de s’inscrire dans</w:t>
      </w:r>
      <w:r w:rsidR="00E12332">
        <w:rPr>
          <w:rFonts w:cstheme="minorHAnsi"/>
          <w:lang w:val="fr" w:eastAsia="fr-FR"/>
        </w:rPr>
        <w:t xml:space="preserve"> </w:t>
      </w:r>
      <w:r>
        <w:rPr>
          <w:rFonts w:cstheme="minorHAnsi"/>
          <w:lang w:val="fr" w:eastAsia="fr-FR"/>
        </w:rPr>
        <w:t xml:space="preserve">une </w:t>
      </w:r>
      <w:r w:rsidR="00E12332">
        <w:rPr>
          <w:rFonts w:cstheme="minorHAnsi"/>
          <w:lang w:val="fr" w:eastAsia="fr-FR"/>
        </w:rPr>
        <w:t xml:space="preserve">transition environnementale et </w:t>
      </w:r>
      <w:r>
        <w:rPr>
          <w:rFonts w:cstheme="minorHAnsi"/>
          <w:lang w:val="fr" w:eastAsia="fr-FR"/>
        </w:rPr>
        <w:t xml:space="preserve">dans </w:t>
      </w:r>
      <w:r w:rsidR="00E12332">
        <w:rPr>
          <w:rFonts w:cstheme="minorHAnsi"/>
          <w:lang w:val="fr" w:eastAsia="fr-FR"/>
        </w:rPr>
        <w:t>la préservation des ressources</w:t>
      </w:r>
      <w:r w:rsidR="006C6010">
        <w:rPr>
          <w:rFonts w:cstheme="minorHAnsi"/>
          <w:lang w:val="fr" w:eastAsia="fr-FR"/>
        </w:rPr>
        <w:t>.</w:t>
      </w:r>
      <w:r w:rsidR="00E12332">
        <w:rPr>
          <w:rFonts w:cstheme="minorHAnsi"/>
          <w:lang w:val="fr" w:eastAsia="fr-FR"/>
        </w:rPr>
        <w:t xml:space="preserve"> </w:t>
      </w:r>
      <w:r w:rsidR="00F76F1F">
        <w:rPr>
          <w:rFonts w:cstheme="minorHAnsi"/>
          <w:lang w:val="fr" w:eastAsia="fr-FR"/>
        </w:rPr>
        <w:t>Pour rappel, l</w:t>
      </w:r>
      <w:r w:rsidR="0071509D" w:rsidRPr="000F5E1E">
        <w:rPr>
          <w:rFonts w:cstheme="minorHAnsi"/>
          <w:lang w:val="fr" w:eastAsia="fr-FR"/>
        </w:rPr>
        <w:t>es grandes actions du plan de s</w:t>
      </w:r>
      <w:r w:rsidR="00AC5DE3" w:rsidRPr="000F5E1E">
        <w:rPr>
          <w:rFonts w:cstheme="minorHAnsi"/>
          <w:lang w:val="fr" w:eastAsia="fr-FR"/>
        </w:rPr>
        <w:t>obriété ont consisté à</w:t>
      </w:r>
      <w:r w:rsidR="00F501FB">
        <w:rPr>
          <w:rFonts w:cstheme="minorHAnsi"/>
          <w:lang w:val="fr" w:eastAsia="fr-FR"/>
        </w:rPr>
        <w:t xml:space="preserve"> : </w:t>
      </w:r>
    </w:p>
    <w:p w14:paraId="46AEE46E" w14:textId="5EC055A4" w:rsidR="00AC5DE3" w:rsidRPr="000F5E1E" w:rsidRDefault="00AC5DE3" w:rsidP="00604F33">
      <w:pPr>
        <w:pStyle w:val="Paragraphedeliste"/>
        <w:numPr>
          <w:ilvl w:val="0"/>
          <w:numId w:val="1"/>
        </w:numPr>
        <w:jc w:val="both"/>
        <w:rPr>
          <w:rFonts w:cstheme="minorHAnsi"/>
          <w:lang w:val="fr" w:eastAsia="fr-FR"/>
        </w:rPr>
      </w:pPr>
      <w:r w:rsidRPr="000F5E1E">
        <w:rPr>
          <w:rFonts w:cstheme="minorHAnsi"/>
          <w:lang w:val="fr" w:eastAsia="fr-FR"/>
        </w:rPr>
        <w:t>Régler la température de chauffage à 19° dans les locaux, là où cela est techniquement possible</w:t>
      </w:r>
      <w:r w:rsidR="00DE3B77">
        <w:rPr>
          <w:rFonts w:cstheme="minorHAnsi"/>
          <w:lang w:val="fr" w:eastAsia="fr-FR"/>
        </w:rPr>
        <w:t>,</w:t>
      </w:r>
    </w:p>
    <w:p w14:paraId="3E7E22AF" w14:textId="77777777" w:rsidR="00AC5DE3" w:rsidRPr="000F5E1E" w:rsidRDefault="00AC5DE3" w:rsidP="00604F33">
      <w:pPr>
        <w:pStyle w:val="Paragraphedeliste"/>
        <w:numPr>
          <w:ilvl w:val="0"/>
          <w:numId w:val="1"/>
        </w:numPr>
        <w:jc w:val="both"/>
        <w:rPr>
          <w:rFonts w:cstheme="minorHAnsi"/>
          <w:lang w:val="fr" w:eastAsia="fr-FR"/>
        </w:rPr>
      </w:pPr>
      <w:r w:rsidRPr="000F5E1E">
        <w:rPr>
          <w:rFonts w:cstheme="minorHAnsi"/>
          <w:lang w:val="fr" w:eastAsia="fr-FR"/>
        </w:rPr>
        <w:t xml:space="preserve">Introduire davantage de clauses sociales et environnementales dans les marchés publics de l’établissement, </w:t>
      </w:r>
    </w:p>
    <w:p w14:paraId="08055B6F" w14:textId="13A24AAC" w:rsidR="000F5E1E" w:rsidRPr="000F5E1E" w:rsidRDefault="00AC5DE3" w:rsidP="00604F33">
      <w:pPr>
        <w:pStyle w:val="Paragraphedeliste"/>
        <w:numPr>
          <w:ilvl w:val="0"/>
          <w:numId w:val="1"/>
        </w:numPr>
        <w:jc w:val="both"/>
        <w:rPr>
          <w:rFonts w:cstheme="minorHAnsi"/>
          <w:lang w:val="fr" w:eastAsia="fr-FR"/>
        </w:rPr>
      </w:pPr>
      <w:r w:rsidRPr="000F5E1E">
        <w:rPr>
          <w:rFonts w:cstheme="minorHAnsi"/>
          <w:lang w:val="fr" w:eastAsia="fr-FR"/>
        </w:rPr>
        <w:t>Conduire des expérimentations sur les sites volontaires</w:t>
      </w:r>
      <w:r w:rsidR="006C6010">
        <w:rPr>
          <w:rFonts w:cstheme="minorHAnsi"/>
          <w:lang w:val="fr" w:eastAsia="fr-FR"/>
        </w:rPr>
        <w:t xml:space="preserve">, </w:t>
      </w:r>
      <w:r w:rsidRPr="000F5E1E">
        <w:rPr>
          <w:rFonts w:cstheme="minorHAnsi"/>
          <w:lang w:val="fr" w:eastAsia="fr-FR"/>
        </w:rPr>
        <w:t xml:space="preserve">instaurant </w:t>
      </w:r>
      <w:r w:rsidR="00F76F1F">
        <w:rPr>
          <w:rFonts w:cstheme="minorHAnsi"/>
          <w:lang w:val="fr" w:eastAsia="fr-FR"/>
        </w:rPr>
        <w:t xml:space="preserve">2 jours de </w:t>
      </w:r>
      <w:r w:rsidRPr="000F5E1E">
        <w:rPr>
          <w:rFonts w:cstheme="minorHAnsi"/>
          <w:lang w:val="fr" w:eastAsia="fr-FR"/>
        </w:rPr>
        <w:t>télétravail</w:t>
      </w:r>
      <w:r w:rsidR="00F76F1F">
        <w:rPr>
          <w:rFonts w:cstheme="minorHAnsi"/>
          <w:lang w:val="fr" w:eastAsia="fr-FR"/>
        </w:rPr>
        <w:t xml:space="preserve"> </w:t>
      </w:r>
      <w:r w:rsidR="004E7B7E">
        <w:rPr>
          <w:rFonts w:cstheme="minorHAnsi"/>
          <w:lang w:val="fr" w:eastAsia="fr-FR"/>
        </w:rPr>
        <w:t>systématique</w:t>
      </w:r>
      <w:r w:rsidR="00505F49">
        <w:rPr>
          <w:rFonts w:cstheme="minorHAnsi"/>
          <w:lang w:val="fr" w:eastAsia="fr-FR"/>
        </w:rPr>
        <w:t xml:space="preserve">, </w:t>
      </w:r>
      <w:r w:rsidRPr="000F5E1E">
        <w:rPr>
          <w:rFonts w:cstheme="minorHAnsi"/>
          <w:lang w:val="fr" w:eastAsia="fr-FR"/>
        </w:rPr>
        <w:t>le lundi et le vendredi</w:t>
      </w:r>
      <w:r w:rsidR="00F501FB">
        <w:rPr>
          <w:rFonts w:cstheme="minorHAnsi"/>
          <w:lang w:val="fr" w:eastAsia="fr-FR"/>
        </w:rPr>
        <w:t xml:space="preserve"> pendant les mois d’hiver, </w:t>
      </w:r>
      <w:r w:rsidRPr="000F5E1E">
        <w:rPr>
          <w:rFonts w:cstheme="minorHAnsi"/>
          <w:lang w:val="fr" w:eastAsia="fr-FR"/>
        </w:rPr>
        <w:t xml:space="preserve">permettant une fermeture des bâtiments </w:t>
      </w:r>
      <w:r w:rsidR="000F5E1E" w:rsidRPr="000F5E1E">
        <w:rPr>
          <w:rFonts w:cstheme="minorHAnsi"/>
          <w:lang w:val="fr" w:eastAsia="fr-FR"/>
        </w:rPr>
        <w:t>quatre jours consécutifs</w:t>
      </w:r>
      <w:r w:rsidR="00F501FB">
        <w:rPr>
          <w:rFonts w:cstheme="minorHAnsi"/>
          <w:lang w:val="fr" w:eastAsia="fr-FR"/>
        </w:rPr>
        <w:t xml:space="preserve"> et une baisse de la consommation de chauffage</w:t>
      </w:r>
      <w:r w:rsidR="00DE3B77">
        <w:rPr>
          <w:rFonts w:cstheme="minorHAnsi"/>
          <w:lang w:val="fr" w:eastAsia="fr-FR"/>
        </w:rPr>
        <w:t>,</w:t>
      </w:r>
    </w:p>
    <w:p w14:paraId="50916C38" w14:textId="54177702" w:rsidR="00AC5DE3" w:rsidRDefault="000F5E1E" w:rsidP="00604F33">
      <w:pPr>
        <w:pStyle w:val="Paragraphedeliste"/>
        <w:numPr>
          <w:ilvl w:val="0"/>
          <w:numId w:val="1"/>
        </w:numPr>
        <w:jc w:val="both"/>
        <w:rPr>
          <w:rFonts w:cstheme="minorHAnsi"/>
          <w:lang w:val="fr" w:eastAsia="fr-FR"/>
        </w:rPr>
      </w:pPr>
      <w:r w:rsidRPr="000F5E1E">
        <w:rPr>
          <w:rFonts w:cstheme="minorHAnsi"/>
          <w:lang w:val="fr" w:eastAsia="fr-FR"/>
        </w:rPr>
        <w:t>In</w:t>
      </w:r>
      <w:r w:rsidR="00AC5DE3" w:rsidRPr="000F5E1E">
        <w:rPr>
          <w:rFonts w:cstheme="minorHAnsi"/>
          <w:lang w:val="fr" w:eastAsia="fr-FR"/>
        </w:rPr>
        <w:t>staurer, partout où cela était possible</w:t>
      </w:r>
      <w:r w:rsidR="00A53B75" w:rsidRPr="000F5E1E">
        <w:rPr>
          <w:rFonts w:cstheme="minorHAnsi"/>
          <w:lang w:val="fr" w:eastAsia="fr-FR"/>
        </w:rPr>
        <w:t xml:space="preserve"> (à l’exception de certains bâtiments contenant des animaleries, laboratoires avec du matériel sensible, etc.) </w:t>
      </w:r>
      <w:r w:rsidR="00AC5DE3" w:rsidRPr="000F5E1E">
        <w:rPr>
          <w:rFonts w:cstheme="minorHAnsi"/>
          <w:lang w:val="fr" w:eastAsia="fr-FR"/>
        </w:rPr>
        <w:t>des périodes de fermeture commune, à hauteur de 4 semaines en 2023 et 5 semaines en 2024</w:t>
      </w:r>
      <w:r w:rsidR="00DE3B77">
        <w:rPr>
          <w:rFonts w:cstheme="minorHAnsi"/>
          <w:lang w:val="fr" w:eastAsia="fr-FR"/>
        </w:rPr>
        <w:t>,</w:t>
      </w:r>
    </w:p>
    <w:p w14:paraId="75F17157" w14:textId="233D6F5B" w:rsidR="00505F49" w:rsidRPr="00505F49" w:rsidRDefault="00505F49" w:rsidP="00505F49">
      <w:pPr>
        <w:pStyle w:val="Paragraphedeliste"/>
        <w:numPr>
          <w:ilvl w:val="0"/>
          <w:numId w:val="1"/>
        </w:numPr>
        <w:jc w:val="both"/>
        <w:rPr>
          <w:rFonts w:cstheme="minorHAnsi"/>
          <w:lang w:val="fr" w:eastAsia="fr-FR"/>
        </w:rPr>
      </w:pPr>
      <w:r>
        <w:rPr>
          <w:rFonts w:cstheme="minorHAnsi"/>
          <w:lang w:val="fr" w:eastAsia="fr-FR"/>
        </w:rPr>
        <w:t xml:space="preserve">Mener </w:t>
      </w:r>
      <w:r w:rsidRPr="000F5E1E">
        <w:rPr>
          <w:rFonts w:cstheme="minorHAnsi"/>
          <w:lang w:val="fr" w:eastAsia="fr-FR"/>
        </w:rPr>
        <w:t>plusieurs campagnes de communication rappelant</w:t>
      </w:r>
      <w:r>
        <w:rPr>
          <w:rFonts w:cstheme="minorHAnsi"/>
          <w:lang w:val="fr" w:eastAsia="fr-FR"/>
        </w:rPr>
        <w:t xml:space="preserve"> à la communauté universitaire </w:t>
      </w:r>
      <w:r w:rsidRPr="000F5E1E">
        <w:rPr>
          <w:rFonts w:cstheme="minorHAnsi"/>
          <w:lang w:val="fr" w:eastAsia="fr-FR"/>
        </w:rPr>
        <w:t>les écogestes et leur</w:t>
      </w:r>
      <w:r>
        <w:rPr>
          <w:rFonts w:cstheme="minorHAnsi"/>
          <w:lang w:val="fr" w:eastAsia="fr-FR"/>
        </w:rPr>
        <w:t>s</w:t>
      </w:r>
      <w:r w:rsidRPr="000F5E1E">
        <w:rPr>
          <w:rFonts w:cstheme="minorHAnsi"/>
          <w:lang w:val="fr" w:eastAsia="fr-FR"/>
        </w:rPr>
        <w:t xml:space="preserve"> impact</w:t>
      </w:r>
      <w:r>
        <w:rPr>
          <w:rFonts w:cstheme="minorHAnsi"/>
          <w:lang w:val="fr" w:eastAsia="fr-FR"/>
        </w:rPr>
        <w:t>s</w:t>
      </w:r>
      <w:r w:rsidR="00DE3B77">
        <w:rPr>
          <w:rFonts w:cstheme="minorHAnsi"/>
          <w:lang w:val="fr" w:eastAsia="fr-FR"/>
        </w:rPr>
        <w:t>,</w:t>
      </w:r>
    </w:p>
    <w:p w14:paraId="4A95FE02" w14:textId="315D65C9" w:rsidR="00AC5DE3" w:rsidRDefault="00AC5DE3" w:rsidP="00604F33">
      <w:pPr>
        <w:pStyle w:val="Paragraphedeliste"/>
        <w:numPr>
          <w:ilvl w:val="0"/>
          <w:numId w:val="1"/>
        </w:numPr>
        <w:jc w:val="both"/>
        <w:rPr>
          <w:rFonts w:cstheme="minorHAnsi"/>
          <w:lang w:val="fr" w:eastAsia="fr-FR"/>
        </w:rPr>
      </w:pPr>
      <w:r w:rsidRPr="000F5E1E">
        <w:rPr>
          <w:rFonts w:cstheme="minorHAnsi"/>
          <w:lang w:val="fr" w:eastAsia="fr-FR"/>
        </w:rPr>
        <w:t>Conduire de</w:t>
      </w:r>
      <w:r w:rsidR="00F501FB">
        <w:rPr>
          <w:rFonts w:cstheme="minorHAnsi"/>
          <w:lang w:val="fr" w:eastAsia="fr-FR"/>
        </w:rPr>
        <w:t xml:space="preserve"> premières a</w:t>
      </w:r>
      <w:r w:rsidRPr="000F5E1E">
        <w:rPr>
          <w:rFonts w:cstheme="minorHAnsi"/>
          <w:lang w:val="fr" w:eastAsia="fr-FR"/>
        </w:rPr>
        <w:t>ctions de sensibilisation</w:t>
      </w:r>
      <w:r w:rsidR="00F501FB">
        <w:rPr>
          <w:rFonts w:cstheme="minorHAnsi"/>
          <w:lang w:val="fr" w:eastAsia="fr-FR"/>
        </w:rPr>
        <w:t xml:space="preserve"> </w:t>
      </w:r>
      <w:r w:rsidRPr="000F5E1E">
        <w:rPr>
          <w:rFonts w:cstheme="minorHAnsi"/>
          <w:lang w:val="fr" w:eastAsia="fr-FR"/>
        </w:rPr>
        <w:t>à destination des laboratoires</w:t>
      </w:r>
      <w:r w:rsidR="00F501FB">
        <w:rPr>
          <w:rFonts w:cstheme="minorHAnsi"/>
          <w:lang w:val="fr" w:eastAsia="fr-FR"/>
        </w:rPr>
        <w:t>, via notamment la relance du réseau des référents développement durable en lien avec le CNRS</w:t>
      </w:r>
      <w:r w:rsidR="00DE3B77">
        <w:rPr>
          <w:rFonts w:cstheme="minorHAnsi"/>
          <w:lang w:val="fr" w:eastAsia="fr-FR"/>
        </w:rPr>
        <w:t>,</w:t>
      </w:r>
    </w:p>
    <w:p w14:paraId="6716A25D" w14:textId="1D596F5B" w:rsidR="00FA72E6" w:rsidRPr="000F5E1E" w:rsidRDefault="00FA72E6" w:rsidP="00604F33">
      <w:pPr>
        <w:pStyle w:val="Paragraphedeliste"/>
        <w:numPr>
          <w:ilvl w:val="0"/>
          <w:numId w:val="1"/>
        </w:numPr>
        <w:jc w:val="both"/>
        <w:rPr>
          <w:rFonts w:cstheme="minorHAnsi"/>
          <w:lang w:val="fr" w:eastAsia="fr-FR"/>
        </w:rPr>
      </w:pPr>
      <w:r>
        <w:rPr>
          <w:rFonts w:cstheme="minorHAnsi"/>
          <w:lang w:val="fr" w:eastAsia="fr-FR"/>
        </w:rPr>
        <w:t>A</w:t>
      </w:r>
      <w:r w:rsidRPr="00FA72E6">
        <w:rPr>
          <w:rFonts w:cstheme="minorHAnsi"/>
          <w:lang w:val="fr" w:eastAsia="fr-FR"/>
        </w:rPr>
        <w:t xml:space="preserve">ugmentation de la part des énergies renouvelables de l'établissement </w:t>
      </w:r>
      <w:r>
        <w:rPr>
          <w:rFonts w:cstheme="minorHAnsi"/>
          <w:lang w:val="fr" w:eastAsia="fr-FR"/>
        </w:rPr>
        <w:t xml:space="preserve">avec la </w:t>
      </w:r>
      <w:r w:rsidRPr="00FA72E6">
        <w:rPr>
          <w:rFonts w:cstheme="minorHAnsi"/>
          <w:lang w:val="fr" w:eastAsia="fr-FR"/>
        </w:rPr>
        <w:t xml:space="preserve">livraison fin 2023 de la chaufferie biomasse du campus Luminy, centrales photovoltaïques en toiture sur SIMMAR </w:t>
      </w:r>
      <w:r>
        <w:rPr>
          <w:rFonts w:cstheme="minorHAnsi"/>
          <w:lang w:val="fr" w:eastAsia="fr-FR"/>
        </w:rPr>
        <w:t>(</w:t>
      </w:r>
      <w:r w:rsidRPr="00FA72E6">
        <w:rPr>
          <w:rFonts w:cstheme="minorHAnsi"/>
          <w:lang w:val="fr" w:eastAsia="fr-FR"/>
        </w:rPr>
        <w:t>centre de simulation médicale</w:t>
      </w:r>
      <w:r>
        <w:rPr>
          <w:rFonts w:cstheme="minorHAnsi"/>
          <w:lang w:val="fr" w:eastAsia="fr-FR"/>
        </w:rPr>
        <w:t>)</w:t>
      </w:r>
      <w:r w:rsidRPr="00FA72E6">
        <w:rPr>
          <w:rFonts w:cstheme="minorHAnsi"/>
          <w:lang w:val="fr" w:eastAsia="fr-FR"/>
        </w:rPr>
        <w:t xml:space="preserve"> site Médecine </w:t>
      </w:r>
      <w:r>
        <w:rPr>
          <w:rFonts w:cstheme="minorHAnsi"/>
          <w:lang w:val="fr" w:eastAsia="fr-FR"/>
        </w:rPr>
        <w:t xml:space="preserve">Marseille </w:t>
      </w:r>
      <w:r w:rsidRPr="00FA72E6">
        <w:rPr>
          <w:rFonts w:cstheme="minorHAnsi"/>
          <w:lang w:val="fr" w:eastAsia="fr-FR"/>
        </w:rPr>
        <w:t>Nord, Bâtiment 15 site St Charles, Bâtiment Pharmacie site Timone</w:t>
      </w:r>
    </w:p>
    <w:p w14:paraId="773E5FAD" w14:textId="34D9509B" w:rsidR="00AC5DE3" w:rsidRPr="000F5E1E" w:rsidRDefault="00AC5DE3" w:rsidP="00604F33">
      <w:pPr>
        <w:pStyle w:val="Paragraphedeliste"/>
        <w:numPr>
          <w:ilvl w:val="0"/>
          <w:numId w:val="1"/>
        </w:numPr>
        <w:jc w:val="both"/>
        <w:rPr>
          <w:rFonts w:cstheme="minorHAnsi"/>
          <w:lang w:val="fr" w:eastAsia="fr-FR"/>
        </w:rPr>
      </w:pPr>
      <w:r w:rsidRPr="000F5E1E">
        <w:rPr>
          <w:rFonts w:cstheme="minorHAnsi"/>
          <w:lang w:val="fr" w:eastAsia="fr-FR"/>
        </w:rPr>
        <w:t xml:space="preserve">Renforcer les formations </w:t>
      </w:r>
      <w:r w:rsidR="00F501FB">
        <w:rPr>
          <w:rFonts w:cstheme="minorHAnsi"/>
          <w:lang w:val="fr" w:eastAsia="fr-FR"/>
        </w:rPr>
        <w:t xml:space="preserve">à destination des personnels </w:t>
      </w:r>
      <w:r w:rsidRPr="000F5E1E">
        <w:rPr>
          <w:rFonts w:cstheme="minorHAnsi"/>
          <w:lang w:val="fr" w:eastAsia="fr-FR"/>
        </w:rPr>
        <w:t>en matière de développement durable</w:t>
      </w:r>
      <w:r w:rsidR="00DE3B77">
        <w:rPr>
          <w:rFonts w:cstheme="minorHAnsi"/>
          <w:lang w:val="fr" w:eastAsia="fr-FR"/>
        </w:rPr>
        <w:t>.</w:t>
      </w:r>
      <w:r w:rsidRPr="000F5E1E">
        <w:rPr>
          <w:rFonts w:cstheme="minorHAnsi"/>
          <w:lang w:val="fr" w:eastAsia="fr-FR"/>
        </w:rPr>
        <w:t xml:space="preserve"> </w:t>
      </w:r>
    </w:p>
    <w:p w14:paraId="2EE95E98" w14:textId="0E9A4B90" w:rsidR="00AC5DE3" w:rsidRPr="00301B1B" w:rsidRDefault="00DE3B77" w:rsidP="00604F33">
      <w:pPr>
        <w:jc w:val="both"/>
        <w:rPr>
          <w:rFonts w:eastAsiaTheme="majorEastAsia" w:cstheme="minorHAnsi"/>
          <w:b/>
          <w:color w:val="5B9BD5"/>
          <w:lang w:val="fr" w:eastAsia="fr-FR"/>
        </w:rPr>
      </w:pPr>
      <w:r>
        <w:rPr>
          <w:rFonts w:eastAsiaTheme="majorEastAsia" w:cstheme="minorHAnsi"/>
          <w:b/>
          <w:color w:val="5B9BD5"/>
          <w:lang w:val="fr" w:eastAsia="fr-FR"/>
        </w:rPr>
        <w:t>Quelques chiffres</w:t>
      </w:r>
      <w:r w:rsidRPr="00301B1B">
        <w:rPr>
          <w:rFonts w:eastAsiaTheme="majorEastAsia" w:cstheme="minorHAnsi"/>
          <w:b/>
          <w:color w:val="5B9BD5"/>
          <w:lang w:val="fr" w:eastAsia="fr-FR"/>
        </w:rPr>
        <w:t> </w:t>
      </w:r>
    </w:p>
    <w:p w14:paraId="1257BA37" w14:textId="152F2FF1" w:rsidR="00A87D7F" w:rsidRDefault="00505F49" w:rsidP="00604F33">
      <w:pPr>
        <w:jc w:val="both"/>
        <w:rPr>
          <w:rFonts w:cstheme="minorHAnsi"/>
          <w:lang w:val="fr" w:eastAsia="fr-FR"/>
        </w:rPr>
      </w:pPr>
      <w:r w:rsidRPr="00301B1B">
        <w:rPr>
          <w:rFonts w:cstheme="minorHAnsi"/>
          <w:lang w:val="fr" w:eastAsia="fr-FR"/>
        </w:rPr>
        <w:t>Toutes ces</w:t>
      </w:r>
      <w:r w:rsidR="00AC5DE3" w:rsidRPr="00301B1B">
        <w:rPr>
          <w:rFonts w:cstheme="minorHAnsi"/>
          <w:lang w:val="fr" w:eastAsia="fr-FR"/>
        </w:rPr>
        <w:t xml:space="preserve"> mesures ont permis</w:t>
      </w:r>
      <w:r w:rsidRPr="00301B1B">
        <w:rPr>
          <w:rFonts w:cstheme="minorHAnsi"/>
          <w:lang w:val="fr" w:eastAsia="fr-FR"/>
        </w:rPr>
        <w:t xml:space="preserve"> d’obtenir</w:t>
      </w:r>
      <w:r w:rsidR="00AC5DE3" w:rsidRPr="00301B1B">
        <w:rPr>
          <w:rFonts w:cstheme="minorHAnsi"/>
          <w:lang w:val="fr" w:eastAsia="fr-FR"/>
        </w:rPr>
        <w:t xml:space="preserve"> une baisse de </w:t>
      </w:r>
      <w:r w:rsidR="0048170A" w:rsidRPr="00301B1B">
        <w:rPr>
          <w:rFonts w:cstheme="minorHAnsi"/>
          <w:lang w:val="fr" w:eastAsia="fr-FR"/>
        </w:rPr>
        <w:t>4</w:t>
      </w:r>
      <w:r w:rsidR="00AC5DE3" w:rsidRPr="00301B1B">
        <w:rPr>
          <w:rFonts w:cstheme="minorHAnsi"/>
          <w:lang w:val="fr" w:eastAsia="fr-FR"/>
        </w:rPr>
        <w:t xml:space="preserve">% </w:t>
      </w:r>
      <w:r w:rsidR="009F6C63" w:rsidRPr="00301B1B">
        <w:rPr>
          <w:rFonts w:cstheme="minorHAnsi"/>
          <w:lang w:val="fr" w:eastAsia="fr-FR"/>
        </w:rPr>
        <w:t xml:space="preserve">de </w:t>
      </w:r>
      <w:r w:rsidR="00AC5DE3" w:rsidRPr="00301B1B">
        <w:rPr>
          <w:rFonts w:cstheme="minorHAnsi"/>
          <w:lang w:val="fr" w:eastAsia="fr-FR"/>
        </w:rPr>
        <w:t xml:space="preserve">la consommation d’énergie pour l’Université </w:t>
      </w:r>
      <w:r w:rsidR="00DE3B77" w:rsidRPr="00301B1B">
        <w:rPr>
          <w:rFonts w:cstheme="minorHAnsi"/>
          <w:lang w:val="fr" w:eastAsia="fr-FR"/>
        </w:rPr>
        <w:t xml:space="preserve">sur la seule année </w:t>
      </w:r>
      <w:r w:rsidR="00AC5DE3" w:rsidRPr="00301B1B">
        <w:rPr>
          <w:rFonts w:cstheme="minorHAnsi"/>
          <w:lang w:val="fr" w:eastAsia="fr-FR"/>
        </w:rPr>
        <w:t>2023</w:t>
      </w:r>
      <w:r w:rsidR="00A87D7F" w:rsidRPr="00301B1B">
        <w:rPr>
          <w:rFonts w:cstheme="minorHAnsi"/>
          <w:lang w:val="fr" w:eastAsia="fr-FR"/>
        </w:rPr>
        <w:t xml:space="preserve"> (</w:t>
      </w:r>
      <w:r w:rsidR="0048170A" w:rsidRPr="00301B1B">
        <w:rPr>
          <w:rFonts w:cstheme="minorHAnsi"/>
          <w:lang w:val="fr" w:eastAsia="fr-FR"/>
        </w:rPr>
        <w:t>5</w:t>
      </w:r>
      <w:r w:rsidR="00AC5DE3" w:rsidRPr="00301B1B">
        <w:rPr>
          <w:rFonts w:cstheme="minorHAnsi"/>
          <w:lang w:val="fr" w:eastAsia="fr-FR"/>
        </w:rPr>
        <w:t xml:space="preserve">% pour le gaz, </w:t>
      </w:r>
      <w:r w:rsidR="0048170A" w:rsidRPr="00301B1B">
        <w:rPr>
          <w:rFonts w:cstheme="minorHAnsi"/>
          <w:lang w:val="fr" w:eastAsia="fr-FR"/>
        </w:rPr>
        <w:t>3</w:t>
      </w:r>
      <w:r w:rsidR="00AC5DE3" w:rsidRPr="00301B1B">
        <w:rPr>
          <w:rFonts w:cstheme="minorHAnsi"/>
          <w:lang w:val="fr" w:eastAsia="fr-FR"/>
        </w:rPr>
        <w:t>% pour l’électricité</w:t>
      </w:r>
      <w:r w:rsidR="00A87D7F" w:rsidRPr="00301B1B">
        <w:rPr>
          <w:rFonts w:cstheme="minorHAnsi"/>
          <w:lang w:val="fr" w:eastAsia="fr-FR"/>
        </w:rPr>
        <w:t>)</w:t>
      </w:r>
      <w:r w:rsidR="00AC5DE3" w:rsidRPr="00301B1B">
        <w:rPr>
          <w:rFonts w:cstheme="minorHAnsi"/>
          <w:lang w:val="fr" w:eastAsia="fr-FR"/>
        </w:rPr>
        <w:t>.</w:t>
      </w:r>
      <w:r w:rsidR="009F6C63" w:rsidRPr="00301B1B">
        <w:rPr>
          <w:rFonts w:cstheme="minorHAnsi"/>
          <w:lang w:val="fr" w:eastAsia="fr-FR"/>
        </w:rPr>
        <w:t xml:space="preserve"> </w:t>
      </w:r>
      <w:r w:rsidR="0048170A" w:rsidRPr="00301B1B">
        <w:rPr>
          <w:rFonts w:cstheme="minorHAnsi"/>
          <w:lang w:val="fr" w:eastAsia="fr-FR"/>
        </w:rPr>
        <w:t>Depuis 2019, la baisse de la consommation d’énergie pour AMU atteint 7%</w:t>
      </w:r>
      <w:r w:rsidR="00A87D7F" w:rsidRPr="00301B1B">
        <w:rPr>
          <w:rFonts w:cstheme="minorHAnsi"/>
          <w:lang w:val="fr" w:eastAsia="fr-FR"/>
        </w:rPr>
        <w:t xml:space="preserve"> (</w:t>
      </w:r>
      <w:r w:rsidR="0048170A" w:rsidRPr="00301B1B">
        <w:rPr>
          <w:rFonts w:cstheme="minorHAnsi"/>
          <w:lang w:val="fr" w:eastAsia="fr-FR"/>
        </w:rPr>
        <w:t>9% pour le gaz et 4</w:t>
      </w:r>
      <w:r w:rsidR="0048170A">
        <w:rPr>
          <w:rFonts w:cstheme="minorHAnsi"/>
          <w:lang w:val="fr" w:eastAsia="fr-FR"/>
        </w:rPr>
        <w:t>% pour l’électricité</w:t>
      </w:r>
      <w:r w:rsidR="00A87D7F">
        <w:rPr>
          <w:rFonts w:cstheme="minorHAnsi"/>
          <w:lang w:val="fr" w:eastAsia="fr-FR"/>
        </w:rPr>
        <w:t>)</w:t>
      </w:r>
      <w:r w:rsidR="0048170A">
        <w:rPr>
          <w:rFonts w:cstheme="minorHAnsi"/>
          <w:lang w:val="fr" w:eastAsia="fr-FR"/>
        </w:rPr>
        <w:t xml:space="preserve">. </w:t>
      </w:r>
    </w:p>
    <w:p w14:paraId="73156863" w14:textId="68F6A070" w:rsidR="00505F49" w:rsidRDefault="007D5E75" w:rsidP="00604F33">
      <w:pPr>
        <w:jc w:val="both"/>
        <w:rPr>
          <w:rFonts w:cstheme="minorHAnsi"/>
          <w:lang w:val="fr" w:eastAsia="fr-FR"/>
        </w:rPr>
      </w:pPr>
      <w:r>
        <w:rPr>
          <w:rFonts w:cstheme="minorHAnsi"/>
          <w:lang w:val="fr" w:eastAsia="fr-FR"/>
        </w:rPr>
        <w:t>En intégrant la correction des aléas climatiques</w:t>
      </w:r>
      <w:r w:rsidR="00A87D7F">
        <w:rPr>
          <w:rFonts w:cstheme="minorHAnsi"/>
          <w:lang w:val="fr" w:eastAsia="fr-FR"/>
        </w:rPr>
        <w:t xml:space="preserve">, la baisse de la consommation d’énergie s’est élevée à 7% en 2023 par rapport à 2022 et à 5% par rapport à l’année 2019. </w:t>
      </w:r>
    </w:p>
    <w:p w14:paraId="5875D050" w14:textId="77777777" w:rsidR="0049029A" w:rsidRDefault="0049029A" w:rsidP="00604F33">
      <w:pPr>
        <w:jc w:val="both"/>
        <w:rPr>
          <w:rFonts w:cstheme="minorHAnsi"/>
          <w:lang w:val="fr" w:eastAsia="fr-FR"/>
        </w:rPr>
      </w:pPr>
    </w:p>
    <w:p w14:paraId="17529FD2" w14:textId="77777777" w:rsidR="00505F49" w:rsidRDefault="00505F49" w:rsidP="00604F33">
      <w:pPr>
        <w:jc w:val="both"/>
        <w:rPr>
          <w:rFonts w:cstheme="minorHAnsi"/>
          <w:lang w:val="fr" w:eastAsia="fr-FR"/>
        </w:rPr>
      </w:pPr>
      <w:r>
        <w:rPr>
          <w:rFonts w:cstheme="minorHAnsi"/>
          <w:lang w:val="fr" w:eastAsia="fr-FR"/>
        </w:rPr>
        <w:t>Verbatim Eric Berton :</w:t>
      </w:r>
    </w:p>
    <w:p w14:paraId="57C9E686" w14:textId="67B7FB43" w:rsidR="009F6C63" w:rsidRPr="006C6010" w:rsidRDefault="00505F49" w:rsidP="00604F33">
      <w:pPr>
        <w:jc w:val="both"/>
        <w:rPr>
          <w:rFonts w:cstheme="minorHAnsi"/>
          <w:i/>
          <w:lang w:val="fr" w:eastAsia="fr-FR"/>
        </w:rPr>
      </w:pPr>
      <w:r w:rsidRPr="006C6010">
        <w:rPr>
          <w:rFonts w:cstheme="minorHAnsi"/>
          <w:i/>
          <w:lang w:val="fr" w:eastAsia="fr-FR"/>
        </w:rPr>
        <w:lastRenderedPageBreak/>
        <w:t>« Nous sommes très fiers des premiers résultats obtenus grâ</w:t>
      </w:r>
      <w:r w:rsidR="00465BB4">
        <w:rPr>
          <w:rFonts w:cstheme="minorHAnsi"/>
          <w:i/>
          <w:lang w:val="fr" w:eastAsia="fr-FR"/>
        </w:rPr>
        <w:t>c</w:t>
      </w:r>
      <w:r w:rsidRPr="006C6010">
        <w:rPr>
          <w:rFonts w:cstheme="minorHAnsi"/>
          <w:i/>
          <w:lang w:val="fr" w:eastAsia="fr-FR"/>
        </w:rPr>
        <w:t>e au plan de sobriété.</w:t>
      </w:r>
      <w:r w:rsidR="00BB5C40">
        <w:rPr>
          <w:rFonts w:cstheme="minorHAnsi"/>
          <w:i/>
          <w:lang w:val="fr" w:eastAsia="fr-FR"/>
        </w:rPr>
        <w:t xml:space="preserve"> </w:t>
      </w:r>
      <w:r w:rsidRPr="006C6010">
        <w:rPr>
          <w:rFonts w:cstheme="minorHAnsi"/>
          <w:i/>
          <w:lang w:val="fr" w:eastAsia="fr-FR"/>
        </w:rPr>
        <w:t>Cette</w:t>
      </w:r>
      <w:r w:rsidR="00BB5C40">
        <w:rPr>
          <w:rFonts w:cstheme="minorHAnsi"/>
          <w:i/>
          <w:lang w:val="fr" w:eastAsia="fr-FR"/>
        </w:rPr>
        <w:t xml:space="preserve"> </w:t>
      </w:r>
      <w:r w:rsidR="009F6C63" w:rsidRPr="006C6010">
        <w:rPr>
          <w:rFonts w:cstheme="minorHAnsi"/>
          <w:i/>
          <w:lang w:val="fr" w:eastAsia="fr-FR"/>
        </w:rPr>
        <w:t xml:space="preserve">trajectoire </w:t>
      </w:r>
      <w:r w:rsidRPr="006C6010">
        <w:rPr>
          <w:rFonts w:cstheme="minorHAnsi"/>
          <w:i/>
          <w:lang w:val="fr" w:eastAsia="fr-FR"/>
        </w:rPr>
        <w:t>nous</w:t>
      </w:r>
      <w:r w:rsidR="009F6C63" w:rsidRPr="006C6010">
        <w:rPr>
          <w:rFonts w:cstheme="minorHAnsi"/>
          <w:i/>
          <w:lang w:val="fr" w:eastAsia="fr-FR"/>
        </w:rPr>
        <w:t xml:space="preserve"> permet d’espérer le respect de l’objectif de réduction de 10% de la consommation d’énergie en 2024 par rapport à 2019</w:t>
      </w:r>
      <w:r w:rsidR="00604F33" w:rsidRPr="006C6010">
        <w:rPr>
          <w:rFonts w:cstheme="minorHAnsi"/>
          <w:i/>
          <w:lang w:val="fr" w:eastAsia="fr-FR"/>
        </w:rPr>
        <w:t xml:space="preserve">, </w:t>
      </w:r>
      <w:r w:rsidR="00DE3B77">
        <w:rPr>
          <w:rFonts w:cstheme="minorHAnsi"/>
          <w:i/>
          <w:lang w:val="fr" w:eastAsia="fr-FR"/>
        </w:rPr>
        <w:t>enjeu</w:t>
      </w:r>
      <w:r w:rsidR="00DE3B77" w:rsidRPr="006C6010">
        <w:rPr>
          <w:rFonts w:cstheme="minorHAnsi"/>
          <w:i/>
          <w:lang w:val="fr" w:eastAsia="fr-FR"/>
        </w:rPr>
        <w:t xml:space="preserve"> </w:t>
      </w:r>
      <w:r w:rsidR="00604F33" w:rsidRPr="006C6010">
        <w:rPr>
          <w:rFonts w:cstheme="minorHAnsi"/>
          <w:i/>
          <w:lang w:val="fr" w:eastAsia="fr-FR"/>
        </w:rPr>
        <w:t xml:space="preserve">majeur du plan de sobriété. </w:t>
      </w:r>
      <w:r w:rsidR="009F6C63" w:rsidRPr="006C6010">
        <w:rPr>
          <w:rFonts w:cstheme="minorHAnsi"/>
          <w:i/>
          <w:lang w:val="fr" w:eastAsia="fr-FR"/>
        </w:rPr>
        <w:t xml:space="preserve">Il </w:t>
      </w:r>
      <w:r w:rsidRPr="006C6010">
        <w:rPr>
          <w:rFonts w:cstheme="minorHAnsi"/>
          <w:i/>
          <w:lang w:val="fr" w:eastAsia="fr-FR"/>
        </w:rPr>
        <w:t xml:space="preserve">ne </w:t>
      </w:r>
      <w:r w:rsidR="009F6C63" w:rsidRPr="006C6010">
        <w:rPr>
          <w:rFonts w:cstheme="minorHAnsi"/>
          <w:i/>
          <w:lang w:val="fr" w:eastAsia="fr-FR"/>
        </w:rPr>
        <w:t xml:space="preserve">s’agit néanmoins </w:t>
      </w:r>
      <w:r w:rsidRPr="006C6010">
        <w:rPr>
          <w:rFonts w:cstheme="minorHAnsi"/>
          <w:i/>
          <w:lang w:val="fr" w:eastAsia="fr-FR"/>
        </w:rPr>
        <w:t xml:space="preserve">que </w:t>
      </w:r>
      <w:r w:rsidR="009F6C63" w:rsidRPr="006C6010">
        <w:rPr>
          <w:rFonts w:cstheme="minorHAnsi"/>
          <w:i/>
          <w:lang w:val="fr" w:eastAsia="fr-FR"/>
        </w:rPr>
        <w:t>d’une première étape</w:t>
      </w:r>
      <w:r w:rsidR="00DB107D">
        <w:rPr>
          <w:rFonts w:cstheme="minorHAnsi"/>
          <w:i/>
          <w:lang w:val="fr" w:eastAsia="fr-FR"/>
        </w:rPr>
        <w:t>.</w:t>
      </w:r>
      <w:r w:rsidR="009F6C63" w:rsidRPr="006C6010">
        <w:rPr>
          <w:rFonts w:cstheme="minorHAnsi"/>
          <w:i/>
          <w:lang w:val="fr" w:eastAsia="fr-FR"/>
        </w:rPr>
        <w:t xml:space="preserve"> </w:t>
      </w:r>
      <w:r w:rsidR="00DB107D">
        <w:rPr>
          <w:rFonts w:cstheme="minorHAnsi"/>
          <w:i/>
          <w:lang w:val="fr" w:eastAsia="fr-FR"/>
        </w:rPr>
        <w:t>C</w:t>
      </w:r>
      <w:r w:rsidR="009F6C63" w:rsidRPr="006C6010">
        <w:rPr>
          <w:rFonts w:cstheme="minorHAnsi"/>
          <w:i/>
          <w:lang w:val="fr" w:eastAsia="fr-FR"/>
        </w:rPr>
        <w:t xml:space="preserve">es résultats prometteurs nous invitent à encore amplifier </w:t>
      </w:r>
      <w:r w:rsidR="00DB107D">
        <w:rPr>
          <w:rFonts w:cstheme="minorHAnsi"/>
          <w:i/>
          <w:lang w:val="fr" w:eastAsia="fr-FR"/>
        </w:rPr>
        <w:t>nos</w:t>
      </w:r>
      <w:r w:rsidR="00DB107D" w:rsidRPr="006C6010">
        <w:rPr>
          <w:rFonts w:cstheme="minorHAnsi"/>
          <w:i/>
          <w:lang w:val="fr" w:eastAsia="fr-FR"/>
        </w:rPr>
        <w:t xml:space="preserve"> </w:t>
      </w:r>
      <w:r w:rsidR="009F6C63" w:rsidRPr="006C6010">
        <w:rPr>
          <w:rFonts w:cstheme="minorHAnsi"/>
          <w:i/>
          <w:lang w:val="fr" w:eastAsia="fr-FR"/>
        </w:rPr>
        <w:t>efforts</w:t>
      </w:r>
      <w:r w:rsidR="00DB107D">
        <w:rPr>
          <w:rFonts w:cstheme="minorHAnsi"/>
          <w:i/>
          <w:lang w:val="fr" w:eastAsia="fr-FR"/>
        </w:rPr>
        <w:t xml:space="preserve"> en matière</w:t>
      </w:r>
      <w:r w:rsidR="009F6C63" w:rsidRPr="006C6010">
        <w:rPr>
          <w:rFonts w:cstheme="minorHAnsi"/>
          <w:i/>
          <w:lang w:val="fr" w:eastAsia="fr-FR"/>
        </w:rPr>
        <w:t xml:space="preserve"> de sobriété et de transition écologique </w:t>
      </w:r>
      <w:r w:rsidRPr="006C6010">
        <w:rPr>
          <w:rFonts w:cstheme="minorHAnsi"/>
          <w:i/>
          <w:lang w:val="fr" w:eastAsia="fr-FR"/>
        </w:rPr>
        <w:t>pour Aix-Marseille Université »</w:t>
      </w:r>
    </w:p>
    <w:p w14:paraId="779D7519" w14:textId="77777777" w:rsidR="00355B08" w:rsidRPr="000F5E1E" w:rsidRDefault="00355B08" w:rsidP="00604F33">
      <w:pPr>
        <w:pStyle w:val="Titre3"/>
        <w:jc w:val="both"/>
        <w:rPr>
          <w:rFonts w:asciiTheme="minorHAnsi" w:hAnsiTheme="minorHAnsi" w:cstheme="minorHAnsi"/>
          <w:szCs w:val="22"/>
          <w:lang w:val="fr" w:eastAsia="fr-FR"/>
        </w:rPr>
      </w:pPr>
      <w:r w:rsidRPr="000F5E1E">
        <w:rPr>
          <w:rFonts w:asciiTheme="minorHAnsi" w:hAnsiTheme="minorHAnsi" w:cstheme="minorHAnsi"/>
          <w:szCs w:val="22"/>
          <w:lang w:val="fr" w:eastAsia="fr-FR"/>
        </w:rPr>
        <w:t>Nos actions pour 2024</w:t>
      </w:r>
    </w:p>
    <w:p w14:paraId="6EA238CA" w14:textId="77777777" w:rsidR="00355B08" w:rsidRPr="000F5E1E" w:rsidRDefault="0004392C" w:rsidP="00604F33">
      <w:pPr>
        <w:jc w:val="both"/>
        <w:rPr>
          <w:rFonts w:cstheme="minorHAnsi"/>
          <w:lang w:val="fr" w:eastAsia="fr-FR"/>
        </w:rPr>
      </w:pPr>
      <w:r>
        <w:rPr>
          <w:rFonts w:cstheme="minorHAnsi"/>
          <w:lang w:val="fr" w:eastAsia="fr-FR"/>
        </w:rPr>
        <w:t>Dans l’objectif de poursuivre sa</w:t>
      </w:r>
      <w:r w:rsidR="00465BB4">
        <w:rPr>
          <w:rFonts w:cstheme="minorHAnsi"/>
          <w:lang w:val="fr" w:eastAsia="fr-FR"/>
        </w:rPr>
        <w:t xml:space="preserve"> </w:t>
      </w:r>
      <w:r w:rsidR="00F501FB">
        <w:rPr>
          <w:rFonts w:cstheme="minorHAnsi"/>
          <w:lang w:val="fr" w:eastAsia="fr-FR"/>
        </w:rPr>
        <w:t xml:space="preserve">réduction de consommation d’énergie, </w:t>
      </w:r>
      <w:r w:rsidR="00DF4557" w:rsidRPr="000F5E1E">
        <w:rPr>
          <w:rFonts w:cstheme="minorHAnsi"/>
          <w:lang w:val="fr" w:eastAsia="fr-FR"/>
        </w:rPr>
        <w:t xml:space="preserve">AMU a prévu de développer et renforcer </w:t>
      </w:r>
      <w:r w:rsidR="00F501FB">
        <w:rPr>
          <w:rFonts w:cstheme="minorHAnsi"/>
          <w:lang w:val="fr" w:eastAsia="fr-FR"/>
        </w:rPr>
        <w:t xml:space="preserve">ses efforts </w:t>
      </w:r>
      <w:r>
        <w:rPr>
          <w:rFonts w:cstheme="minorHAnsi"/>
          <w:lang w:val="fr" w:eastAsia="fr-FR"/>
        </w:rPr>
        <w:t xml:space="preserve">en matière de </w:t>
      </w:r>
      <w:r w:rsidR="00DF4557" w:rsidRPr="000F5E1E">
        <w:rPr>
          <w:rFonts w:cstheme="minorHAnsi"/>
          <w:lang w:val="fr" w:eastAsia="fr-FR"/>
        </w:rPr>
        <w:t>sobriété en 2024</w:t>
      </w:r>
      <w:r w:rsidR="00465BB4">
        <w:rPr>
          <w:rFonts w:cstheme="minorHAnsi"/>
          <w:lang w:val="fr" w:eastAsia="fr-FR"/>
        </w:rPr>
        <w:t>. C</w:t>
      </w:r>
      <w:r>
        <w:rPr>
          <w:rFonts w:cstheme="minorHAnsi"/>
          <w:lang w:val="fr" w:eastAsia="fr-FR"/>
        </w:rPr>
        <w:t>es mesures consistent à :</w:t>
      </w:r>
      <w:r w:rsidR="00DF4557" w:rsidRPr="000F5E1E">
        <w:rPr>
          <w:rFonts w:cstheme="minorHAnsi"/>
          <w:lang w:val="fr" w:eastAsia="fr-FR"/>
        </w:rPr>
        <w:t xml:space="preserve"> </w:t>
      </w:r>
    </w:p>
    <w:p w14:paraId="60698F32" w14:textId="50518118" w:rsidR="00A52D27" w:rsidRPr="000F5E1E" w:rsidRDefault="00465BB4" w:rsidP="00604F33">
      <w:pPr>
        <w:pStyle w:val="Paragraphedeliste"/>
        <w:numPr>
          <w:ilvl w:val="0"/>
          <w:numId w:val="1"/>
        </w:numPr>
        <w:jc w:val="both"/>
        <w:rPr>
          <w:rFonts w:cstheme="minorHAnsi"/>
          <w:lang w:val="fr" w:eastAsia="fr-FR"/>
        </w:rPr>
      </w:pPr>
      <w:r>
        <w:rPr>
          <w:rFonts w:cstheme="minorHAnsi"/>
          <w:lang w:val="fr" w:eastAsia="fr-FR"/>
        </w:rPr>
        <w:t>É</w:t>
      </w:r>
      <w:r w:rsidR="00E12332">
        <w:rPr>
          <w:rFonts w:cstheme="minorHAnsi"/>
          <w:lang w:val="fr" w:eastAsia="fr-FR"/>
        </w:rPr>
        <w:t xml:space="preserve">laborer </w:t>
      </w:r>
      <w:r w:rsidR="00DF4557" w:rsidRPr="000F5E1E">
        <w:rPr>
          <w:rFonts w:cstheme="minorHAnsi"/>
          <w:lang w:val="fr" w:eastAsia="fr-FR"/>
        </w:rPr>
        <w:t xml:space="preserve">une </w:t>
      </w:r>
      <w:r w:rsidR="00A52D27" w:rsidRPr="000F5E1E">
        <w:rPr>
          <w:rFonts w:cstheme="minorHAnsi"/>
          <w:lang w:val="fr" w:eastAsia="fr-FR"/>
        </w:rPr>
        <w:t>charte d’usage des locaux, déterminant les préconisations de l’établissement pour les nouveaux bâtiments et opérations de réhabilitation</w:t>
      </w:r>
      <w:r w:rsidR="00DE3B77">
        <w:rPr>
          <w:rFonts w:cstheme="minorHAnsi"/>
          <w:lang w:val="fr" w:eastAsia="fr-FR"/>
        </w:rPr>
        <w:t>,</w:t>
      </w:r>
    </w:p>
    <w:p w14:paraId="4CA76E12" w14:textId="61D24EE2" w:rsidR="00355B08" w:rsidRPr="000F5E1E" w:rsidRDefault="0004392C" w:rsidP="00604F33">
      <w:pPr>
        <w:pStyle w:val="Paragraphedeliste"/>
        <w:numPr>
          <w:ilvl w:val="0"/>
          <w:numId w:val="1"/>
        </w:numPr>
        <w:jc w:val="both"/>
        <w:rPr>
          <w:rFonts w:cstheme="minorHAnsi"/>
          <w:lang w:val="fr" w:eastAsia="fr-FR"/>
        </w:rPr>
      </w:pPr>
      <w:r>
        <w:rPr>
          <w:rFonts w:cstheme="minorHAnsi"/>
          <w:lang w:val="fr" w:eastAsia="fr-FR"/>
        </w:rPr>
        <w:t>Développer</w:t>
      </w:r>
      <w:r w:rsidR="00E12332">
        <w:rPr>
          <w:rFonts w:cstheme="minorHAnsi"/>
          <w:lang w:val="fr" w:eastAsia="fr-FR"/>
        </w:rPr>
        <w:t xml:space="preserve"> </w:t>
      </w:r>
      <w:r w:rsidR="00A52D27" w:rsidRPr="000F5E1E">
        <w:rPr>
          <w:rFonts w:cstheme="minorHAnsi"/>
          <w:lang w:val="fr" w:eastAsia="fr-FR"/>
        </w:rPr>
        <w:t xml:space="preserve">un plan de </w:t>
      </w:r>
      <w:r w:rsidR="00DF4557" w:rsidRPr="000F5E1E">
        <w:rPr>
          <w:rFonts w:cstheme="minorHAnsi"/>
          <w:lang w:val="fr" w:eastAsia="fr-FR"/>
        </w:rPr>
        <w:t>comptage</w:t>
      </w:r>
      <w:r w:rsidR="00A52D27" w:rsidRPr="000F5E1E">
        <w:rPr>
          <w:rFonts w:cstheme="minorHAnsi"/>
          <w:lang w:val="fr" w:eastAsia="fr-FR"/>
        </w:rPr>
        <w:t xml:space="preserve"> de l’établissement, permettant de financer avec l’aide de l’État des compteurs et sous-compteurs électriques, préalables indispensables à l’instauration d’une démarche de maitrise de l’énergie</w:t>
      </w:r>
      <w:r w:rsidR="00E12332">
        <w:rPr>
          <w:rFonts w:cstheme="minorHAnsi"/>
          <w:lang w:val="fr" w:eastAsia="fr-FR"/>
        </w:rPr>
        <w:t xml:space="preserve"> à l’échelle de l’établissement</w:t>
      </w:r>
      <w:r w:rsidR="00DE3B77">
        <w:rPr>
          <w:rFonts w:cstheme="minorHAnsi"/>
          <w:lang w:val="fr" w:eastAsia="fr-FR"/>
        </w:rPr>
        <w:t>,</w:t>
      </w:r>
    </w:p>
    <w:p w14:paraId="4E367A83" w14:textId="5C2913C9" w:rsidR="00A52D27" w:rsidRDefault="00DF67FA" w:rsidP="00604F33">
      <w:pPr>
        <w:pStyle w:val="Paragraphedeliste"/>
        <w:numPr>
          <w:ilvl w:val="0"/>
          <w:numId w:val="1"/>
        </w:numPr>
        <w:jc w:val="both"/>
        <w:rPr>
          <w:rFonts w:cstheme="minorHAnsi"/>
          <w:lang w:val="fr" w:eastAsia="fr-FR"/>
        </w:rPr>
      </w:pPr>
      <w:r>
        <w:rPr>
          <w:rFonts w:cstheme="minorHAnsi"/>
          <w:lang w:val="fr" w:eastAsia="fr-FR"/>
        </w:rPr>
        <w:t>Amplifier</w:t>
      </w:r>
      <w:r w:rsidR="00E12332">
        <w:rPr>
          <w:rFonts w:cstheme="minorHAnsi"/>
          <w:lang w:val="fr" w:eastAsia="fr-FR"/>
        </w:rPr>
        <w:t xml:space="preserve"> </w:t>
      </w:r>
      <w:r w:rsidR="00A52D27" w:rsidRPr="000F5E1E">
        <w:rPr>
          <w:rFonts w:cstheme="minorHAnsi"/>
          <w:lang w:val="fr" w:eastAsia="fr-FR"/>
        </w:rPr>
        <w:t>les actions de sensibilisation à destination des laboratoires</w:t>
      </w:r>
      <w:r w:rsidR="00DE3B77">
        <w:rPr>
          <w:rFonts w:cstheme="minorHAnsi"/>
          <w:lang w:val="fr" w:eastAsia="fr-FR"/>
        </w:rPr>
        <w:t>,</w:t>
      </w:r>
    </w:p>
    <w:p w14:paraId="1B06C27E" w14:textId="369EAF92" w:rsidR="00E12332" w:rsidRDefault="00DF67FA" w:rsidP="00604F33">
      <w:pPr>
        <w:pStyle w:val="Paragraphedeliste"/>
        <w:numPr>
          <w:ilvl w:val="0"/>
          <w:numId w:val="1"/>
        </w:numPr>
        <w:jc w:val="both"/>
        <w:rPr>
          <w:rFonts w:cstheme="minorHAnsi"/>
          <w:lang w:val="fr" w:eastAsia="fr-FR"/>
        </w:rPr>
      </w:pPr>
      <w:r>
        <w:rPr>
          <w:rFonts w:cstheme="minorHAnsi"/>
          <w:lang w:val="fr" w:eastAsia="fr-FR"/>
        </w:rPr>
        <w:t>I</w:t>
      </w:r>
      <w:r w:rsidR="00E12332">
        <w:rPr>
          <w:rFonts w:cstheme="minorHAnsi"/>
          <w:lang w:val="fr" w:eastAsia="fr-FR"/>
        </w:rPr>
        <w:t xml:space="preserve">ntégrer les démarches de sobriété dans le schéma directeur développement durable / responsabilité sociétale de l’établissement, qui constituera </w:t>
      </w:r>
      <w:r>
        <w:rPr>
          <w:rFonts w:cstheme="minorHAnsi"/>
          <w:lang w:val="fr" w:eastAsia="fr-FR"/>
        </w:rPr>
        <w:t>s</w:t>
      </w:r>
      <w:r w:rsidR="00E12332">
        <w:rPr>
          <w:rFonts w:cstheme="minorHAnsi"/>
          <w:lang w:val="fr" w:eastAsia="fr-FR"/>
        </w:rPr>
        <w:t>a feuille de route stratégique pour ses actions de transition</w:t>
      </w:r>
      <w:r w:rsidR="00DE3B77">
        <w:rPr>
          <w:rFonts w:cstheme="minorHAnsi"/>
          <w:lang w:val="fr" w:eastAsia="fr-FR"/>
        </w:rPr>
        <w:t>,</w:t>
      </w:r>
    </w:p>
    <w:p w14:paraId="00C23921" w14:textId="36DBF7B1" w:rsidR="00DE3B77" w:rsidRDefault="00DE3B77" w:rsidP="00604F33">
      <w:pPr>
        <w:pStyle w:val="Paragraphedeliste"/>
        <w:numPr>
          <w:ilvl w:val="0"/>
          <w:numId w:val="1"/>
        </w:numPr>
        <w:jc w:val="both"/>
        <w:rPr>
          <w:rFonts w:cstheme="minorHAnsi"/>
          <w:lang w:val="fr" w:eastAsia="fr-FR"/>
        </w:rPr>
      </w:pPr>
      <w:r>
        <w:rPr>
          <w:rFonts w:cstheme="minorHAnsi"/>
          <w:lang w:val="fr" w:eastAsia="fr-FR"/>
        </w:rPr>
        <w:t>Redynamiser le réseau des référents DD</w:t>
      </w:r>
      <w:r w:rsidR="00497E8A">
        <w:rPr>
          <w:rFonts w:cstheme="minorHAnsi"/>
          <w:lang w:val="fr" w:eastAsia="fr-FR"/>
        </w:rPr>
        <w:t>,</w:t>
      </w:r>
    </w:p>
    <w:p w14:paraId="2FBA1AFE" w14:textId="465AFC57" w:rsidR="00497E8A" w:rsidRPr="000F5E1E" w:rsidRDefault="00497E8A" w:rsidP="00604F33">
      <w:pPr>
        <w:pStyle w:val="Paragraphedeliste"/>
        <w:numPr>
          <w:ilvl w:val="0"/>
          <w:numId w:val="1"/>
        </w:numPr>
        <w:jc w:val="both"/>
        <w:rPr>
          <w:rFonts w:cstheme="minorHAnsi"/>
          <w:lang w:val="fr" w:eastAsia="fr-FR"/>
        </w:rPr>
      </w:pPr>
      <w:r>
        <w:rPr>
          <w:rFonts w:cstheme="minorHAnsi"/>
          <w:lang w:val="fr" w:eastAsia="fr-FR"/>
        </w:rPr>
        <w:t xml:space="preserve">Mise en place de </w:t>
      </w:r>
      <w:r w:rsidRPr="00497E8A">
        <w:rPr>
          <w:rFonts w:cstheme="minorHAnsi"/>
          <w:lang w:val="fr" w:eastAsia="fr-FR"/>
        </w:rPr>
        <w:t>réunions d'exploitation technique &amp; énergie</w:t>
      </w:r>
      <w:r w:rsidR="000C647D">
        <w:rPr>
          <w:rFonts w:cstheme="minorHAnsi"/>
          <w:lang w:val="fr" w:eastAsia="fr-FR"/>
        </w:rPr>
        <w:t xml:space="preserve"> permettant de </w:t>
      </w:r>
      <w:r w:rsidR="000C647D" w:rsidRPr="000C647D">
        <w:rPr>
          <w:rFonts w:cstheme="minorHAnsi"/>
          <w:lang w:val="fr" w:eastAsia="fr-FR"/>
        </w:rPr>
        <w:t>faire vivre le plan de sobriété dans la durée, accroitre la sobriété et déterminer des actions prioritaires par site</w:t>
      </w:r>
      <w:r w:rsidR="000C647D">
        <w:rPr>
          <w:rFonts w:cstheme="minorHAnsi"/>
          <w:lang w:val="fr" w:eastAsia="fr-FR"/>
        </w:rPr>
        <w:t>.</w:t>
      </w:r>
    </w:p>
    <w:p w14:paraId="6D601983" w14:textId="77777777" w:rsidR="00D103EF" w:rsidRDefault="00D103EF" w:rsidP="00604F33">
      <w:pPr>
        <w:jc w:val="both"/>
        <w:rPr>
          <w:rFonts w:cstheme="minorHAnsi"/>
          <w:lang w:val="fr" w:eastAsia="fr-FR"/>
        </w:rPr>
      </w:pPr>
      <w:r>
        <w:rPr>
          <w:rFonts w:cstheme="minorHAnsi"/>
          <w:lang w:val="fr" w:eastAsia="fr-FR"/>
        </w:rPr>
        <w:t xml:space="preserve">Toutes ces </w:t>
      </w:r>
      <w:r w:rsidR="00DF67FA">
        <w:rPr>
          <w:rFonts w:cstheme="minorHAnsi"/>
          <w:lang w:val="fr" w:eastAsia="fr-FR"/>
        </w:rPr>
        <w:t xml:space="preserve">initiatives </w:t>
      </w:r>
      <w:r>
        <w:rPr>
          <w:rFonts w:cstheme="minorHAnsi"/>
          <w:lang w:val="fr" w:eastAsia="fr-FR"/>
        </w:rPr>
        <w:t xml:space="preserve">s’inscrivent dans une démarche de réduction de la consommation d’énergie de l’établissement, qui doit atteindre 40% en 2030 et 60% en 2050 par rapport à l’année de référence*, en cohérence avec les objectifs du décret tertiaire. </w:t>
      </w:r>
    </w:p>
    <w:p w14:paraId="1ABFAA35" w14:textId="77777777" w:rsidR="00D103EF" w:rsidRDefault="00D103EF" w:rsidP="00604F33">
      <w:pPr>
        <w:jc w:val="both"/>
        <w:rPr>
          <w:rFonts w:cstheme="minorHAnsi"/>
          <w:lang w:val="fr" w:eastAsia="fr-FR"/>
        </w:rPr>
      </w:pPr>
      <w:bookmarkStart w:id="0" w:name="_GoBack"/>
      <w:bookmarkEnd w:id="0"/>
    </w:p>
    <w:p w14:paraId="45F17138" w14:textId="77777777" w:rsidR="00D103EF" w:rsidRPr="000F5E1E" w:rsidRDefault="00D103EF" w:rsidP="00604F33">
      <w:pPr>
        <w:jc w:val="both"/>
        <w:rPr>
          <w:rFonts w:cstheme="minorHAnsi"/>
          <w:lang w:val="fr" w:eastAsia="fr-FR"/>
        </w:rPr>
      </w:pPr>
      <w:r>
        <w:rPr>
          <w:rFonts w:cstheme="minorHAnsi"/>
          <w:lang w:val="fr" w:eastAsia="fr-FR"/>
        </w:rPr>
        <w:t>* : année de référence comprise entre 2010 et 2019 selon les bâtiments</w:t>
      </w:r>
    </w:p>
    <w:p w14:paraId="5A915380" w14:textId="77777777" w:rsidR="000F5E1E" w:rsidRDefault="000F5E1E" w:rsidP="00604F33">
      <w:pPr>
        <w:jc w:val="both"/>
        <w:rPr>
          <w:rFonts w:cstheme="minorHAnsi"/>
          <w:lang w:val="fr" w:eastAsia="fr-FR"/>
        </w:rPr>
      </w:pPr>
    </w:p>
    <w:p w14:paraId="143D2D65" w14:textId="77777777" w:rsidR="000F5E1E" w:rsidRPr="000F5E1E" w:rsidRDefault="000F5E1E" w:rsidP="00604F33">
      <w:pPr>
        <w:jc w:val="both"/>
        <w:rPr>
          <w:rFonts w:cstheme="minorHAnsi"/>
          <w:lang w:val="fr" w:eastAsia="fr-FR"/>
        </w:rPr>
      </w:pPr>
    </w:p>
    <w:sectPr w:rsidR="000F5E1E" w:rsidRPr="000F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035C"/>
    <w:multiLevelType w:val="hybridMultilevel"/>
    <w:tmpl w:val="5E4AA500"/>
    <w:lvl w:ilvl="0" w:tplc="EBB66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D7775"/>
    <w:multiLevelType w:val="hybridMultilevel"/>
    <w:tmpl w:val="2CB6C09A"/>
    <w:lvl w:ilvl="0" w:tplc="7E60B7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215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CA4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C19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456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433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28F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232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4BF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2E"/>
    <w:rsid w:val="0004392C"/>
    <w:rsid w:val="000C647D"/>
    <w:rsid w:val="000F5E1E"/>
    <w:rsid w:val="00301B1B"/>
    <w:rsid w:val="00355B08"/>
    <w:rsid w:val="0036214C"/>
    <w:rsid w:val="003B5075"/>
    <w:rsid w:val="00465BB4"/>
    <w:rsid w:val="0048170A"/>
    <w:rsid w:val="0049029A"/>
    <w:rsid w:val="00497E8A"/>
    <w:rsid w:val="004E7B7E"/>
    <w:rsid w:val="00505F49"/>
    <w:rsid w:val="00537C92"/>
    <w:rsid w:val="00604F33"/>
    <w:rsid w:val="006C6010"/>
    <w:rsid w:val="0071509D"/>
    <w:rsid w:val="00733085"/>
    <w:rsid w:val="007426B6"/>
    <w:rsid w:val="007D5E75"/>
    <w:rsid w:val="0090476A"/>
    <w:rsid w:val="009553C3"/>
    <w:rsid w:val="0097232E"/>
    <w:rsid w:val="00975DBF"/>
    <w:rsid w:val="009E2C03"/>
    <w:rsid w:val="009F6C63"/>
    <w:rsid w:val="00A52D27"/>
    <w:rsid w:val="00A53B75"/>
    <w:rsid w:val="00A87D7F"/>
    <w:rsid w:val="00AC5DE3"/>
    <w:rsid w:val="00BB5C40"/>
    <w:rsid w:val="00C600F3"/>
    <w:rsid w:val="00C74978"/>
    <w:rsid w:val="00D103EF"/>
    <w:rsid w:val="00D25D73"/>
    <w:rsid w:val="00DB085C"/>
    <w:rsid w:val="00DB107D"/>
    <w:rsid w:val="00DE3B77"/>
    <w:rsid w:val="00DF4557"/>
    <w:rsid w:val="00DF67FA"/>
    <w:rsid w:val="00E11020"/>
    <w:rsid w:val="00E12332"/>
    <w:rsid w:val="00E51C8B"/>
    <w:rsid w:val="00EA477E"/>
    <w:rsid w:val="00F42DE4"/>
    <w:rsid w:val="00F501FB"/>
    <w:rsid w:val="00F76F1F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E0FA"/>
  <w15:chartTrackingRefBased/>
  <w15:docId w15:val="{FBA312FF-D060-4EF9-8338-E77FAC8B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7C92"/>
    <w:pPr>
      <w:keepNext/>
      <w:keepLines/>
      <w:spacing w:before="520" w:after="240" w:line="276" w:lineRule="auto"/>
      <w:jc w:val="center"/>
      <w:outlineLvl w:val="0"/>
    </w:pPr>
    <w:rPr>
      <w:rFonts w:ascii="Cambria" w:eastAsia="Arial" w:hAnsi="Cambria" w:cs="Arial"/>
      <w:b/>
      <w:color w:val="2E5496"/>
      <w:sz w:val="32"/>
      <w:szCs w:val="40"/>
      <w:lang w:val="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A477E"/>
    <w:pPr>
      <w:keepNext/>
      <w:keepLines/>
      <w:spacing w:before="480" w:after="240" w:line="276" w:lineRule="auto"/>
      <w:outlineLvl w:val="1"/>
    </w:pPr>
    <w:rPr>
      <w:rFonts w:ascii="Cambria" w:eastAsia="Arial" w:hAnsi="Cambria" w:cs="Arial"/>
      <w:b/>
      <w:color w:val="5B9BD5"/>
      <w:sz w:val="26"/>
      <w:szCs w:val="32"/>
      <w:lang w:val="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477E"/>
    <w:pPr>
      <w:keepNext/>
      <w:keepLines/>
      <w:spacing w:before="280" w:after="240"/>
      <w:outlineLvl w:val="2"/>
    </w:pPr>
    <w:rPr>
      <w:rFonts w:ascii="Cambria" w:eastAsiaTheme="majorEastAsia" w:hAnsi="Cambria" w:cstheme="majorBidi"/>
      <w:b/>
      <w:color w:val="5B9BD5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7C92"/>
    <w:rPr>
      <w:rFonts w:ascii="Cambria" w:eastAsia="Arial" w:hAnsi="Cambria" w:cs="Arial"/>
      <w:b/>
      <w:color w:val="2E5496"/>
      <w:sz w:val="32"/>
      <w:szCs w:val="40"/>
      <w:lang w:val="fr" w:eastAsia="fr-FR"/>
    </w:rPr>
  </w:style>
  <w:style w:type="character" w:customStyle="1" w:styleId="Titre2Car">
    <w:name w:val="Titre 2 Car"/>
    <w:basedOn w:val="Policepardfaut"/>
    <w:link w:val="Titre2"/>
    <w:uiPriority w:val="9"/>
    <w:rsid w:val="00EA477E"/>
    <w:rPr>
      <w:rFonts w:ascii="Cambria" w:eastAsia="Arial" w:hAnsi="Cambria" w:cs="Arial"/>
      <w:b/>
      <w:color w:val="5B9BD5"/>
      <w:sz w:val="26"/>
      <w:szCs w:val="32"/>
      <w:lang w:val="fr" w:eastAsia="fr-FR"/>
    </w:rPr>
  </w:style>
  <w:style w:type="character" w:customStyle="1" w:styleId="Titre3Car">
    <w:name w:val="Titre 3 Car"/>
    <w:basedOn w:val="Policepardfaut"/>
    <w:link w:val="Titre3"/>
    <w:uiPriority w:val="9"/>
    <w:rsid w:val="00EA477E"/>
    <w:rPr>
      <w:rFonts w:ascii="Cambria" w:eastAsiaTheme="majorEastAsia" w:hAnsi="Cambria" w:cstheme="majorBidi"/>
      <w:b/>
      <w:color w:val="5B9BD5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7232E"/>
    <w:rPr>
      <w:color w:val="0000FF"/>
      <w:u w:val="single"/>
    </w:rPr>
  </w:style>
  <w:style w:type="character" w:customStyle="1" w:styleId="fontstyle01">
    <w:name w:val="fontstyle01"/>
    <w:basedOn w:val="Policepardfaut"/>
    <w:rsid w:val="0097232E"/>
    <w:rPr>
      <w:rFonts w:ascii="Bold" w:hAnsi="Bold" w:hint="default"/>
      <w:b/>
      <w:bCs/>
      <w:i w:val="0"/>
      <w:iCs w:val="0"/>
      <w:color w:val="505B98"/>
      <w:sz w:val="26"/>
      <w:szCs w:val="26"/>
    </w:rPr>
  </w:style>
  <w:style w:type="character" w:customStyle="1" w:styleId="fontstyle21">
    <w:name w:val="fontstyle21"/>
    <w:basedOn w:val="Policepardfaut"/>
    <w:rsid w:val="0097232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97232E"/>
    <w:rPr>
      <w:rFonts w:ascii="Arial" w:hAnsi="Arial" w:cs="Arial" w:hint="default"/>
      <w:b/>
      <w:bCs/>
      <w:i w:val="0"/>
      <w:iCs w:val="0"/>
      <w:color w:val="000000"/>
      <w:sz w:val="12"/>
      <w:szCs w:val="12"/>
    </w:rPr>
  </w:style>
  <w:style w:type="character" w:customStyle="1" w:styleId="fontstyle41">
    <w:name w:val="fontstyle41"/>
    <w:basedOn w:val="Policepardfaut"/>
    <w:rsid w:val="0097232E"/>
    <w:rPr>
      <w:rFonts w:ascii="Arial" w:hAnsi="Arial" w:cs="Arial" w:hint="default"/>
      <w:b w:val="0"/>
      <w:bCs w:val="0"/>
      <w:i/>
      <w:iCs/>
      <w:color w:val="000000"/>
      <w:sz w:val="8"/>
      <w:szCs w:val="8"/>
    </w:rPr>
  </w:style>
  <w:style w:type="paragraph" w:styleId="Paragraphedeliste">
    <w:name w:val="List Paragraph"/>
    <w:basedOn w:val="Normal"/>
    <w:uiPriority w:val="34"/>
    <w:qFormat/>
    <w:rsid w:val="00AC5D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C8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439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39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392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39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39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2118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042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997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441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LEGENDRE Simon</dc:creator>
  <cp:keywords/>
  <dc:description/>
  <cp:lastModifiedBy>SANTONI Pascal</cp:lastModifiedBy>
  <cp:revision>2</cp:revision>
  <dcterms:created xsi:type="dcterms:W3CDTF">2024-03-19T09:05:00Z</dcterms:created>
  <dcterms:modified xsi:type="dcterms:W3CDTF">2024-03-19T09:05:00Z</dcterms:modified>
</cp:coreProperties>
</file>