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11D70" w14:textId="77777777" w:rsidR="00C937BA" w:rsidRDefault="00C937BA" w:rsidP="00C937BA">
      <w:pPr>
        <w:jc w:val="both"/>
        <w:rPr>
          <w:rFonts w:ascii="Trebuchet MS" w:hAnsi="Trebuchet MS"/>
          <w:b/>
          <w:color w:val="000000" w:themeColor="text1"/>
          <w:sz w:val="34"/>
          <w:szCs w:val="34"/>
        </w:rPr>
      </w:pPr>
      <w:r w:rsidRPr="00C937BA">
        <w:rPr>
          <w:rFonts w:ascii="Trebuchet MS" w:hAnsi="Trebuchet MS"/>
          <w:b/>
          <w:color w:val="000000" w:themeColor="text1"/>
          <w:sz w:val="34"/>
          <w:szCs w:val="34"/>
        </w:rPr>
        <w:t xml:space="preserve">Justification des </w:t>
      </w:r>
      <w:r w:rsidRPr="00C937BA">
        <w:rPr>
          <w:rFonts w:ascii="Trebuchet MS" w:hAnsi="Trebuchet MS"/>
          <w:b/>
          <w:color w:val="000000" w:themeColor="text1"/>
          <w:spacing w:val="-2"/>
          <w:sz w:val="34"/>
          <w:szCs w:val="34"/>
        </w:rPr>
        <w:t>m</w:t>
      </w:r>
      <w:r w:rsidRPr="00C937BA">
        <w:rPr>
          <w:rFonts w:ascii="Trebuchet MS" w:hAnsi="Trebuchet MS"/>
          <w:b/>
          <w:color w:val="000000" w:themeColor="text1"/>
          <w:spacing w:val="1"/>
          <w:sz w:val="34"/>
          <w:szCs w:val="34"/>
        </w:rPr>
        <w:t>o</w:t>
      </w:r>
      <w:r w:rsidRPr="00C937BA">
        <w:rPr>
          <w:rFonts w:ascii="Trebuchet MS" w:hAnsi="Trebuchet MS"/>
          <w:b/>
          <w:color w:val="000000" w:themeColor="text1"/>
          <w:sz w:val="34"/>
          <w:szCs w:val="34"/>
        </w:rPr>
        <w:t>yens de</w:t>
      </w:r>
      <w:r w:rsidRPr="00C937BA">
        <w:rPr>
          <w:rFonts w:ascii="Trebuchet MS" w:hAnsi="Trebuchet MS"/>
          <w:b/>
          <w:color w:val="000000" w:themeColor="text1"/>
          <w:spacing w:val="-2"/>
          <w:sz w:val="34"/>
          <w:szCs w:val="34"/>
        </w:rPr>
        <w:t>m</w:t>
      </w:r>
      <w:r w:rsidRPr="00C937BA">
        <w:rPr>
          <w:rFonts w:ascii="Trebuchet MS" w:hAnsi="Trebuchet MS"/>
          <w:b/>
          <w:color w:val="000000" w:themeColor="text1"/>
          <w:sz w:val="34"/>
          <w:szCs w:val="34"/>
        </w:rPr>
        <w:t>andé (max. 1 page)</w:t>
      </w:r>
    </w:p>
    <w:tbl>
      <w:tblPr>
        <w:tblW w:w="8932" w:type="dxa"/>
        <w:tblCellMar>
          <w:left w:w="70" w:type="dxa"/>
          <w:right w:w="70" w:type="dxa"/>
        </w:tblCellMar>
        <w:tblLook w:val="04A0" w:firstRow="1" w:lastRow="0" w:firstColumn="1" w:lastColumn="0" w:noHBand="0" w:noVBand="1"/>
      </w:tblPr>
      <w:tblGrid>
        <w:gridCol w:w="1795"/>
        <w:gridCol w:w="1923"/>
        <w:gridCol w:w="1669"/>
        <w:gridCol w:w="1414"/>
        <w:gridCol w:w="2269"/>
      </w:tblGrid>
      <w:tr w:rsidR="0072385B" w:rsidRPr="0072385B" w14:paraId="359C25A5" w14:textId="77777777" w:rsidTr="0072385B">
        <w:trPr>
          <w:trHeight w:val="214"/>
        </w:trPr>
        <w:tc>
          <w:tcPr>
            <w:tcW w:w="1795" w:type="dxa"/>
            <w:tcBorders>
              <w:top w:val="nil"/>
              <w:left w:val="nil"/>
              <w:bottom w:val="nil"/>
              <w:right w:val="nil"/>
            </w:tcBorders>
            <w:shd w:val="clear" w:color="auto" w:fill="auto"/>
            <w:noWrap/>
            <w:vAlign w:val="bottom"/>
            <w:hideMark/>
          </w:tcPr>
          <w:p w14:paraId="50A34C32" w14:textId="77777777" w:rsidR="0072385B" w:rsidRPr="0072385B" w:rsidRDefault="0072385B" w:rsidP="0072385B">
            <w:pPr>
              <w:spacing w:after="0" w:line="240" w:lineRule="auto"/>
              <w:rPr>
                <w:rFonts w:ascii="Times New Roman" w:eastAsia="Times New Roman" w:hAnsi="Times New Roman" w:cs="Times New Roman"/>
                <w:sz w:val="24"/>
                <w:szCs w:val="24"/>
              </w:rPr>
            </w:pPr>
          </w:p>
        </w:tc>
        <w:tc>
          <w:tcPr>
            <w:tcW w:w="3592" w:type="dxa"/>
            <w:gridSpan w:val="2"/>
            <w:tcBorders>
              <w:top w:val="single" w:sz="8" w:space="0" w:color="auto"/>
              <w:left w:val="single" w:sz="8" w:space="0" w:color="auto"/>
              <w:bottom w:val="nil"/>
              <w:right w:val="single" w:sz="4" w:space="0" w:color="auto"/>
            </w:tcBorders>
            <w:shd w:val="clear" w:color="000000" w:fill="F8CBAD"/>
            <w:noWrap/>
            <w:vAlign w:val="bottom"/>
            <w:hideMark/>
          </w:tcPr>
          <w:p w14:paraId="23AEF355" w14:textId="77777777" w:rsidR="0072385B" w:rsidRPr="0072385B" w:rsidRDefault="0072385B" w:rsidP="0072385B">
            <w:pPr>
              <w:spacing w:after="0" w:line="240" w:lineRule="auto"/>
              <w:jc w:val="center"/>
              <w:rPr>
                <w:rFonts w:ascii="Calibri" w:eastAsia="Times New Roman" w:hAnsi="Calibri" w:cs="Calibri"/>
                <w:b/>
                <w:bCs/>
                <w:i w:val="0"/>
                <w:iCs w:val="0"/>
                <w:color w:val="000000"/>
                <w:sz w:val="22"/>
                <w:szCs w:val="22"/>
              </w:rPr>
            </w:pPr>
            <w:r w:rsidRPr="0072385B">
              <w:rPr>
                <w:rFonts w:ascii="Calibri" w:eastAsia="Times New Roman" w:hAnsi="Calibri" w:cs="Calibri"/>
                <w:b/>
                <w:bCs/>
                <w:i w:val="0"/>
                <w:iCs w:val="0"/>
                <w:color w:val="000000"/>
                <w:sz w:val="22"/>
                <w:szCs w:val="22"/>
              </w:rPr>
              <w:t>Dépenses</w:t>
            </w:r>
          </w:p>
        </w:tc>
        <w:tc>
          <w:tcPr>
            <w:tcW w:w="3545" w:type="dxa"/>
            <w:gridSpan w:val="2"/>
            <w:tcBorders>
              <w:top w:val="single" w:sz="8" w:space="0" w:color="auto"/>
              <w:left w:val="nil"/>
              <w:bottom w:val="nil"/>
              <w:right w:val="single" w:sz="8" w:space="0" w:color="000000"/>
            </w:tcBorders>
            <w:shd w:val="clear" w:color="000000" w:fill="C6E0B4"/>
            <w:noWrap/>
            <w:vAlign w:val="bottom"/>
            <w:hideMark/>
          </w:tcPr>
          <w:p w14:paraId="09B9BD34" w14:textId="77777777" w:rsidR="0072385B" w:rsidRPr="0072385B" w:rsidRDefault="0072385B" w:rsidP="0072385B">
            <w:pPr>
              <w:spacing w:after="0" w:line="240" w:lineRule="auto"/>
              <w:jc w:val="center"/>
              <w:rPr>
                <w:rFonts w:ascii="Calibri" w:eastAsia="Times New Roman" w:hAnsi="Calibri" w:cs="Calibri"/>
                <w:b/>
                <w:bCs/>
                <w:i w:val="0"/>
                <w:iCs w:val="0"/>
                <w:color w:val="000000"/>
                <w:sz w:val="22"/>
                <w:szCs w:val="22"/>
              </w:rPr>
            </w:pPr>
            <w:r w:rsidRPr="0072385B">
              <w:rPr>
                <w:rFonts w:ascii="Calibri" w:eastAsia="Times New Roman" w:hAnsi="Calibri" w:cs="Calibri"/>
                <w:b/>
                <w:bCs/>
                <w:i w:val="0"/>
                <w:iCs w:val="0"/>
                <w:color w:val="000000"/>
                <w:sz w:val="22"/>
                <w:szCs w:val="22"/>
              </w:rPr>
              <w:t>Recettes</w:t>
            </w:r>
          </w:p>
        </w:tc>
      </w:tr>
      <w:tr w:rsidR="0072385B" w:rsidRPr="0072385B" w14:paraId="187D550B" w14:textId="77777777" w:rsidTr="0072385B">
        <w:trPr>
          <w:trHeight w:val="1135"/>
        </w:trPr>
        <w:tc>
          <w:tcPr>
            <w:tcW w:w="1795" w:type="dxa"/>
            <w:tcBorders>
              <w:top w:val="nil"/>
              <w:left w:val="nil"/>
              <w:bottom w:val="nil"/>
              <w:right w:val="nil"/>
            </w:tcBorders>
            <w:shd w:val="clear" w:color="auto" w:fill="auto"/>
            <w:noWrap/>
            <w:vAlign w:val="bottom"/>
            <w:hideMark/>
          </w:tcPr>
          <w:p w14:paraId="425CF5CC" w14:textId="77777777" w:rsidR="0072385B" w:rsidRPr="0072385B" w:rsidRDefault="0072385B" w:rsidP="0072385B">
            <w:pPr>
              <w:spacing w:after="0" w:line="240" w:lineRule="auto"/>
              <w:jc w:val="center"/>
              <w:rPr>
                <w:rFonts w:ascii="Calibri" w:eastAsia="Times New Roman" w:hAnsi="Calibri" w:cs="Calibri"/>
                <w:b/>
                <w:bCs/>
                <w:i w:val="0"/>
                <w:iCs w:val="0"/>
                <w:color w:val="000000"/>
                <w:sz w:val="22"/>
                <w:szCs w:val="22"/>
              </w:rPr>
            </w:pPr>
          </w:p>
        </w:tc>
        <w:tc>
          <w:tcPr>
            <w:tcW w:w="1923" w:type="dxa"/>
            <w:tcBorders>
              <w:top w:val="single" w:sz="8" w:space="0" w:color="auto"/>
              <w:left w:val="single" w:sz="8" w:space="0" w:color="auto"/>
              <w:bottom w:val="single" w:sz="8" w:space="0" w:color="auto"/>
              <w:right w:val="single" w:sz="4" w:space="0" w:color="auto"/>
            </w:tcBorders>
            <w:shd w:val="clear" w:color="000000" w:fill="F8CBAD"/>
            <w:noWrap/>
            <w:vAlign w:val="center"/>
            <w:hideMark/>
          </w:tcPr>
          <w:p w14:paraId="034E5833"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Type de dépenses</w:t>
            </w:r>
          </w:p>
        </w:tc>
        <w:tc>
          <w:tcPr>
            <w:tcW w:w="1669" w:type="dxa"/>
            <w:tcBorders>
              <w:top w:val="single" w:sz="8" w:space="0" w:color="auto"/>
              <w:left w:val="nil"/>
              <w:bottom w:val="single" w:sz="8" w:space="0" w:color="auto"/>
              <w:right w:val="single" w:sz="4" w:space="0" w:color="auto"/>
            </w:tcBorders>
            <w:shd w:val="clear" w:color="000000" w:fill="F8CBAD"/>
            <w:noWrap/>
            <w:vAlign w:val="center"/>
            <w:hideMark/>
          </w:tcPr>
          <w:p w14:paraId="6F9A3BC5"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Montant</w:t>
            </w:r>
          </w:p>
        </w:tc>
        <w:tc>
          <w:tcPr>
            <w:tcW w:w="1276" w:type="dxa"/>
            <w:tcBorders>
              <w:top w:val="single" w:sz="8" w:space="0" w:color="auto"/>
              <w:left w:val="nil"/>
              <w:bottom w:val="single" w:sz="8" w:space="0" w:color="auto"/>
              <w:right w:val="single" w:sz="4" w:space="0" w:color="auto"/>
            </w:tcBorders>
            <w:shd w:val="clear" w:color="000000" w:fill="C6E0B4"/>
            <w:vAlign w:val="center"/>
            <w:hideMark/>
          </w:tcPr>
          <w:p w14:paraId="0AF3EAF6"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Financement demandé à A*</w:t>
            </w:r>
            <w:proofErr w:type="spellStart"/>
            <w:r w:rsidRPr="0072385B">
              <w:rPr>
                <w:rFonts w:ascii="Trebuchet MS" w:eastAsia="Times New Roman" w:hAnsi="Trebuchet MS" w:cs="Calibri"/>
                <w:i w:val="0"/>
                <w:iCs w:val="0"/>
                <w:color w:val="000000"/>
                <w:sz w:val="22"/>
                <w:szCs w:val="22"/>
              </w:rPr>
              <w:t>Midex</w:t>
            </w:r>
            <w:proofErr w:type="spellEnd"/>
          </w:p>
        </w:tc>
        <w:tc>
          <w:tcPr>
            <w:tcW w:w="2269" w:type="dxa"/>
            <w:tcBorders>
              <w:top w:val="single" w:sz="8" w:space="0" w:color="auto"/>
              <w:left w:val="nil"/>
              <w:bottom w:val="single" w:sz="8" w:space="0" w:color="auto"/>
              <w:right w:val="single" w:sz="8" w:space="0" w:color="auto"/>
            </w:tcBorders>
            <w:shd w:val="clear" w:color="000000" w:fill="C6E0B4"/>
            <w:vAlign w:val="center"/>
            <w:hideMark/>
          </w:tcPr>
          <w:p w14:paraId="4A898342"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Autres financements éventuels (unités de recherche, collectivités, cofinancements, cofinancement du monde socio-économique, autres…)</w:t>
            </w:r>
          </w:p>
        </w:tc>
      </w:tr>
      <w:tr w:rsidR="0072385B" w:rsidRPr="0072385B" w14:paraId="72D320DC" w14:textId="77777777" w:rsidTr="0072385B">
        <w:trPr>
          <w:trHeight w:val="225"/>
        </w:trPr>
        <w:tc>
          <w:tcPr>
            <w:tcW w:w="179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344736"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Personnel</w:t>
            </w:r>
          </w:p>
        </w:tc>
        <w:tc>
          <w:tcPr>
            <w:tcW w:w="1923" w:type="dxa"/>
            <w:tcBorders>
              <w:top w:val="nil"/>
              <w:left w:val="nil"/>
              <w:bottom w:val="single" w:sz="4" w:space="0" w:color="auto"/>
              <w:right w:val="single" w:sz="4" w:space="0" w:color="auto"/>
            </w:tcBorders>
            <w:shd w:val="clear" w:color="auto" w:fill="auto"/>
            <w:noWrap/>
            <w:vAlign w:val="bottom"/>
            <w:hideMark/>
          </w:tcPr>
          <w:p w14:paraId="3F9CAFA5"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bottom"/>
          </w:tcPr>
          <w:p w14:paraId="790B1C4A"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A492A6F"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auto" w:fill="auto"/>
            <w:noWrap/>
            <w:vAlign w:val="bottom"/>
          </w:tcPr>
          <w:p w14:paraId="23EDBF5D"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30BB62FE" w14:textId="77777777" w:rsidTr="0072385B">
        <w:trPr>
          <w:trHeight w:val="225"/>
        </w:trPr>
        <w:tc>
          <w:tcPr>
            <w:tcW w:w="1795" w:type="dxa"/>
            <w:vMerge/>
            <w:tcBorders>
              <w:top w:val="single" w:sz="8" w:space="0" w:color="auto"/>
              <w:left w:val="single" w:sz="8" w:space="0" w:color="auto"/>
              <w:bottom w:val="single" w:sz="4" w:space="0" w:color="auto"/>
              <w:right w:val="single" w:sz="4" w:space="0" w:color="auto"/>
            </w:tcBorders>
            <w:vAlign w:val="center"/>
            <w:hideMark/>
          </w:tcPr>
          <w:p w14:paraId="28A07C1A"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1923" w:type="dxa"/>
            <w:tcBorders>
              <w:top w:val="nil"/>
              <w:left w:val="nil"/>
              <w:bottom w:val="single" w:sz="4" w:space="0" w:color="auto"/>
              <w:right w:val="single" w:sz="4" w:space="0" w:color="auto"/>
            </w:tcBorders>
            <w:shd w:val="clear" w:color="auto" w:fill="auto"/>
            <w:noWrap/>
            <w:vAlign w:val="bottom"/>
            <w:hideMark/>
          </w:tcPr>
          <w:p w14:paraId="2FC5C5BE"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bottom"/>
          </w:tcPr>
          <w:p w14:paraId="513FCAC3"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17527249"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auto" w:fill="auto"/>
            <w:noWrap/>
            <w:vAlign w:val="bottom"/>
          </w:tcPr>
          <w:p w14:paraId="50F70D05"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423D1C32" w14:textId="77777777" w:rsidTr="0072385B">
        <w:trPr>
          <w:trHeight w:val="225"/>
        </w:trPr>
        <w:tc>
          <w:tcPr>
            <w:tcW w:w="1795" w:type="dxa"/>
            <w:vMerge/>
            <w:tcBorders>
              <w:top w:val="single" w:sz="8" w:space="0" w:color="auto"/>
              <w:left w:val="single" w:sz="8" w:space="0" w:color="auto"/>
              <w:bottom w:val="single" w:sz="4" w:space="0" w:color="auto"/>
              <w:right w:val="single" w:sz="4" w:space="0" w:color="auto"/>
            </w:tcBorders>
            <w:vAlign w:val="center"/>
            <w:hideMark/>
          </w:tcPr>
          <w:p w14:paraId="1FD16C83"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1923" w:type="dxa"/>
            <w:tcBorders>
              <w:top w:val="nil"/>
              <w:left w:val="nil"/>
              <w:bottom w:val="single" w:sz="4" w:space="0" w:color="auto"/>
              <w:right w:val="single" w:sz="4" w:space="0" w:color="auto"/>
            </w:tcBorders>
            <w:shd w:val="clear" w:color="000000" w:fill="E7E6E6"/>
            <w:noWrap/>
            <w:vAlign w:val="bottom"/>
            <w:hideMark/>
          </w:tcPr>
          <w:p w14:paraId="403CA6F2"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Total</w:t>
            </w:r>
          </w:p>
        </w:tc>
        <w:tc>
          <w:tcPr>
            <w:tcW w:w="1669" w:type="dxa"/>
            <w:tcBorders>
              <w:top w:val="nil"/>
              <w:left w:val="nil"/>
              <w:bottom w:val="single" w:sz="4" w:space="0" w:color="auto"/>
              <w:right w:val="single" w:sz="4" w:space="0" w:color="auto"/>
            </w:tcBorders>
            <w:shd w:val="clear" w:color="000000" w:fill="E7E6E6"/>
            <w:noWrap/>
            <w:vAlign w:val="bottom"/>
          </w:tcPr>
          <w:p w14:paraId="71DD6515"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000000" w:fill="E7E6E6"/>
            <w:noWrap/>
            <w:vAlign w:val="bottom"/>
          </w:tcPr>
          <w:p w14:paraId="557BC84B"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000000" w:fill="E7E6E6"/>
            <w:noWrap/>
            <w:vAlign w:val="bottom"/>
          </w:tcPr>
          <w:p w14:paraId="08BFD438"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6C2D8A6A" w14:textId="77777777" w:rsidTr="0072385B">
        <w:trPr>
          <w:trHeight w:val="225"/>
        </w:trPr>
        <w:tc>
          <w:tcPr>
            <w:tcW w:w="179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D6F7851"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xml:space="preserve">Fonctionnement </w:t>
            </w:r>
          </w:p>
        </w:tc>
        <w:tc>
          <w:tcPr>
            <w:tcW w:w="1923" w:type="dxa"/>
            <w:tcBorders>
              <w:top w:val="nil"/>
              <w:left w:val="nil"/>
              <w:bottom w:val="single" w:sz="4" w:space="0" w:color="auto"/>
              <w:right w:val="single" w:sz="4" w:space="0" w:color="auto"/>
            </w:tcBorders>
            <w:shd w:val="clear" w:color="auto" w:fill="auto"/>
            <w:noWrap/>
            <w:vAlign w:val="bottom"/>
            <w:hideMark/>
          </w:tcPr>
          <w:p w14:paraId="78678035"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bottom"/>
          </w:tcPr>
          <w:p w14:paraId="35AE67B7"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7ECDB80F"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auto" w:fill="auto"/>
            <w:noWrap/>
            <w:vAlign w:val="bottom"/>
          </w:tcPr>
          <w:p w14:paraId="351B1CD3"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6C70F189" w14:textId="77777777" w:rsidTr="0072385B">
        <w:trPr>
          <w:trHeight w:val="204"/>
        </w:trPr>
        <w:tc>
          <w:tcPr>
            <w:tcW w:w="1795" w:type="dxa"/>
            <w:vMerge/>
            <w:tcBorders>
              <w:top w:val="nil"/>
              <w:left w:val="single" w:sz="8" w:space="0" w:color="auto"/>
              <w:bottom w:val="single" w:sz="4" w:space="0" w:color="auto"/>
              <w:right w:val="single" w:sz="4" w:space="0" w:color="auto"/>
            </w:tcBorders>
            <w:vAlign w:val="center"/>
            <w:hideMark/>
          </w:tcPr>
          <w:p w14:paraId="2A23F474"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1923" w:type="dxa"/>
            <w:tcBorders>
              <w:top w:val="nil"/>
              <w:left w:val="nil"/>
              <w:bottom w:val="single" w:sz="4" w:space="0" w:color="auto"/>
              <w:right w:val="single" w:sz="4" w:space="0" w:color="auto"/>
            </w:tcBorders>
            <w:shd w:val="clear" w:color="auto" w:fill="auto"/>
            <w:noWrap/>
            <w:vAlign w:val="bottom"/>
            <w:hideMark/>
          </w:tcPr>
          <w:p w14:paraId="4065C801"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bottom"/>
          </w:tcPr>
          <w:p w14:paraId="1BB69B3E"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476E5AF0"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auto" w:fill="auto"/>
            <w:noWrap/>
            <w:vAlign w:val="bottom"/>
          </w:tcPr>
          <w:p w14:paraId="6FA3729D"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32E74219" w14:textId="77777777" w:rsidTr="0072385B">
        <w:trPr>
          <w:trHeight w:val="204"/>
        </w:trPr>
        <w:tc>
          <w:tcPr>
            <w:tcW w:w="1795" w:type="dxa"/>
            <w:vMerge/>
            <w:tcBorders>
              <w:top w:val="nil"/>
              <w:left w:val="single" w:sz="8" w:space="0" w:color="auto"/>
              <w:bottom w:val="single" w:sz="4" w:space="0" w:color="auto"/>
              <w:right w:val="single" w:sz="4" w:space="0" w:color="auto"/>
            </w:tcBorders>
            <w:vAlign w:val="center"/>
            <w:hideMark/>
          </w:tcPr>
          <w:p w14:paraId="43EF0264"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1923" w:type="dxa"/>
            <w:tcBorders>
              <w:top w:val="nil"/>
              <w:left w:val="nil"/>
              <w:bottom w:val="single" w:sz="4" w:space="0" w:color="auto"/>
              <w:right w:val="single" w:sz="4" w:space="0" w:color="auto"/>
            </w:tcBorders>
            <w:shd w:val="clear" w:color="auto" w:fill="auto"/>
            <w:noWrap/>
            <w:vAlign w:val="bottom"/>
            <w:hideMark/>
          </w:tcPr>
          <w:p w14:paraId="433B8647"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bottom"/>
          </w:tcPr>
          <w:p w14:paraId="5D9B245D"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23CEE412"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auto" w:fill="auto"/>
            <w:noWrap/>
            <w:vAlign w:val="bottom"/>
          </w:tcPr>
          <w:p w14:paraId="531049AD"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1D44A8DE" w14:textId="77777777" w:rsidTr="0072385B">
        <w:trPr>
          <w:trHeight w:val="204"/>
        </w:trPr>
        <w:tc>
          <w:tcPr>
            <w:tcW w:w="1795" w:type="dxa"/>
            <w:vMerge/>
            <w:tcBorders>
              <w:top w:val="nil"/>
              <w:left w:val="single" w:sz="8" w:space="0" w:color="auto"/>
              <w:bottom w:val="single" w:sz="4" w:space="0" w:color="auto"/>
              <w:right w:val="single" w:sz="4" w:space="0" w:color="auto"/>
            </w:tcBorders>
            <w:vAlign w:val="center"/>
            <w:hideMark/>
          </w:tcPr>
          <w:p w14:paraId="6CDF8129"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1923" w:type="dxa"/>
            <w:tcBorders>
              <w:top w:val="nil"/>
              <w:left w:val="nil"/>
              <w:bottom w:val="single" w:sz="4" w:space="0" w:color="auto"/>
              <w:right w:val="single" w:sz="4" w:space="0" w:color="auto"/>
            </w:tcBorders>
            <w:shd w:val="clear" w:color="auto" w:fill="auto"/>
            <w:noWrap/>
            <w:vAlign w:val="bottom"/>
            <w:hideMark/>
          </w:tcPr>
          <w:p w14:paraId="556AF80E"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w:t>
            </w:r>
          </w:p>
        </w:tc>
        <w:tc>
          <w:tcPr>
            <w:tcW w:w="1669" w:type="dxa"/>
            <w:tcBorders>
              <w:top w:val="nil"/>
              <w:left w:val="nil"/>
              <w:bottom w:val="single" w:sz="4" w:space="0" w:color="auto"/>
              <w:right w:val="single" w:sz="4" w:space="0" w:color="auto"/>
            </w:tcBorders>
            <w:shd w:val="clear" w:color="auto" w:fill="auto"/>
            <w:noWrap/>
            <w:vAlign w:val="bottom"/>
          </w:tcPr>
          <w:p w14:paraId="03BB1C2A"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14:paraId="3C341A06"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auto" w:fill="auto"/>
            <w:noWrap/>
            <w:vAlign w:val="bottom"/>
          </w:tcPr>
          <w:p w14:paraId="35D73CCF"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355817BE" w14:textId="77777777" w:rsidTr="0072385B">
        <w:trPr>
          <w:trHeight w:val="225"/>
        </w:trPr>
        <w:tc>
          <w:tcPr>
            <w:tcW w:w="1795" w:type="dxa"/>
            <w:vMerge/>
            <w:tcBorders>
              <w:top w:val="nil"/>
              <w:left w:val="single" w:sz="8" w:space="0" w:color="auto"/>
              <w:bottom w:val="single" w:sz="4" w:space="0" w:color="auto"/>
              <w:right w:val="single" w:sz="4" w:space="0" w:color="auto"/>
            </w:tcBorders>
            <w:vAlign w:val="center"/>
            <w:hideMark/>
          </w:tcPr>
          <w:p w14:paraId="6E0F140D"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1923" w:type="dxa"/>
            <w:tcBorders>
              <w:top w:val="nil"/>
              <w:left w:val="nil"/>
              <w:bottom w:val="single" w:sz="4" w:space="0" w:color="auto"/>
              <w:right w:val="single" w:sz="4" w:space="0" w:color="auto"/>
            </w:tcBorders>
            <w:shd w:val="clear" w:color="000000" w:fill="E7E6E6"/>
            <w:noWrap/>
            <w:vAlign w:val="bottom"/>
            <w:hideMark/>
          </w:tcPr>
          <w:p w14:paraId="53813AE5"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Total</w:t>
            </w:r>
          </w:p>
        </w:tc>
        <w:tc>
          <w:tcPr>
            <w:tcW w:w="1669" w:type="dxa"/>
            <w:tcBorders>
              <w:top w:val="nil"/>
              <w:left w:val="nil"/>
              <w:bottom w:val="single" w:sz="4" w:space="0" w:color="auto"/>
              <w:right w:val="single" w:sz="4" w:space="0" w:color="auto"/>
            </w:tcBorders>
            <w:shd w:val="clear" w:color="000000" w:fill="E7E6E6"/>
            <w:noWrap/>
            <w:vAlign w:val="bottom"/>
          </w:tcPr>
          <w:p w14:paraId="1FBD4CEB"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4" w:space="0" w:color="auto"/>
              <w:right w:val="single" w:sz="4" w:space="0" w:color="auto"/>
            </w:tcBorders>
            <w:shd w:val="clear" w:color="000000" w:fill="E7E6E6"/>
            <w:noWrap/>
            <w:vAlign w:val="bottom"/>
          </w:tcPr>
          <w:p w14:paraId="3C3C9229"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4" w:space="0" w:color="auto"/>
              <w:right w:val="single" w:sz="8" w:space="0" w:color="auto"/>
            </w:tcBorders>
            <w:shd w:val="clear" w:color="000000" w:fill="E7E6E6"/>
            <w:noWrap/>
            <w:vAlign w:val="bottom"/>
          </w:tcPr>
          <w:p w14:paraId="7AC010F9"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r w:rsidR="0072385B" w:rsidRPr="0072385B" w14:paraId="6C433398" w14:textId="77777777" w:rsidTr="0072385B">
        <w:trPr>
          <w:trHeight w:val="235"/>
        </w:trPr>
        <w:tc>
          <w:tcPr>
            <w:tcW w:w="3718" w:type="dxa"/>
            <w:gridSpan w:val="2"/>
            <w:tcBorders>
              <w:top w:val="single" w:sz="4" w:space="0" w:color="auto"/>
              <w:left w:val="single" w:sz="8" w:space="0" w:color="auto"/>
              <w:bottom w:val="single" w:sz="8" w:space="0" w:color="auto"/>
              <w:right w:val="single" w:sz="4" w:space="0" w:color="auto"/>
            </w:tcBorders>
            <w:shd w:val="clear" w:color="000000" w:fill="AEAAAA"/>
            <w:noWrap/>
            <w:vAlign w:val="bottom"/>
            <w:hideMark/>
          </w:tcPr>
          <w:p w14:paraId="0F93B476"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r w:rsidRPr="0072385B">
              <w:rPr>
                <w:rFonts w:ascii="Trebuchet MS" w:eastAsia="Times New Roman" w:hAnsi="Trebuchet MS" w:cs="Calibri"/>
                <w:i w:val="0"/>
                <w:iCs w:val="0"/>
                <w:color w:val="000000"/>
                <w:sz w:val="22"/>
                <w:szCs w:val="22"/>
              </w:rPr>
              <w:t xml:space="preserve">Montant total du projet </w:t>
            </w:r>
          </w:p>
        </w:tc>
        <w:tc>
          <w:tcPr>
            <w:tcW w:w="1669" w:type="dxa"/>
            <w:tcBorders>
              <w:top w:val="nil"/>
              <w:left w:val="nil"/>
              <w:bottom w:val="single" w:sz="8" w:space="0" w:color="auto"/>
              <w:right w:val="single" w:sz="4" w:space="0" w:color="auto"/>
            </w:tcBorders>
            <w:shd w:val="clear" w:color="000000" w:fill="AEAAAA"/>
            <w:noWrap/>
            <w:vAlign w:val="bottom"/>
          </w:tcPr>
          <w:p w14:paraId="307EBD94" w14:textId="77777777" w:rsidR="0072385B" w:rsidRPr="0072385B" w:rsidRDefault="0072385B" w:rsidP="0072385B">
            <w:pPr>
              <w:spacing w:after="0" w:line="240" w:lineRule="auto"/>
              <w:jc w:val="right"/>
              <w:rPr>
                <w:rFonts w:ascii="Trebuchet MS" w:eastAsia="Times New Roman" w:hAnsi="Trebuchet MS" w:cs="Calibri"/>
                <w:i w:val="0"/>
                <w:iCs w:val="0"/>
                <w:color w:val="000000"/>
                <w:sz w:val="22"/>
                <w:szCs w:val="22"/>
              </w:rPr>
            </w:pPr>
          </w:p>
        </w:tc>
        <w:tc>
          <w:tcPr>
            <w:tcW w:w="1276" w:type="dxa"/>
            <w:tcBorders>
              <w:top w:val="nil"/>
              <w:left w:val="nil"/>
              <w:bottom w:val="single" w:sz="8" w:space="0" w:color="auto"/>
              <w:right w:val="single" w:sz="4" w:space="0" w:color="auto"/>
            </w:tcBorders>
            <w:shd w:val="clear" w:color="000000" w:fill="AEAAAA"/>
            <w:noWrap/>
            <w:vAlign w:val="bottom"/>
          </w:tcPr>
          <w:p w14:paraId="093B9EC6"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c>
          <w:tcPr>
            <w:tcW w:w="2269" w:type="dxa"/>
            <w:tcBorders>
              <w:top w:val="nil"/>
              <w:left w:val="nil"/>
              <w:bottom w:val="single" w:sz="8" w:space="0" w:color="auto"/>
              <w:right w:val="single" w:sz="8" w:space="0" w:color="auto"/>
            </w:tcBorders>
            <w:shd w:val="clear" w:color="000000" w:fill="AEAAAA"/>
            <w:noWrap/>
            <w:vAlign w:val="bottom"/>
          </w:tcPr>
          <w:p w14:paraId="4F46DAC2" w14:textId="77777777" w:rsidR="0072385B" w:rsidRPr="0072385B" w:rsidRDefault="0072385B" w:rsidP="0072385B">
            <w:pPr>
              <w:spacing w:after="0" w:line="240" w:lineRule="auto"/>
              <w:rPr>
                <w:rFonts w:ascii="Trebuchet MS" w:eastAsia="Times New Roman" w:hAnsi="Trebuchet MS" w:cs="Calibri"/>
                <w:i w:val="0"/>
                <w:iCs w:val="0"/>
                <w:color w:val="000000"/>
                <w:sz w:val="22"/>
                <w:szCs w:val="22"/>
              </w:rPr>
            </w:pPr>
          </w:p>
        </w:tc>
      </w:tr>
    </w:tbl>
    <w:p w14:paraId="691F365E" w14:textId="77777777" w:rsidR="0072385B" w:rsidRPr="00C937BA" w:rsidRDefault="0072385B" w:rsidP="00C937BA">
      <w:pPr>
        <w:jc w:val="both"/>
        <w:rPr>
          <w:rFonts w:ascii="Trebuchet MS" w:hAnsi="Trebuchet MS"/>
          <w:b/>
          <w:color w:val="000000" w:themeColor="text1"/>
          <w:sz w:val="34"/>
          <w:szCs w:val="34"/>
        </w:rPr>
      </w:pPr>
    </w:p>
    <w:p w14:paraId="6D75A091" w14:textId="77777777" w:rsidR="00C937BA" w:rsidRDefault="00C937BA" w:rsidP="00C937BA">
      <w:pPr>
        <w:jc w:val="both"/>
        <w:rPr>
          <w:rFonts w:ascii="Trebuchet MS" w:hAnsi="Trebuchet MS"/>
          <w:color w:val="000000" w:themeColor="text1"/>
        </w:rPr>
      </w:pPr>
      <w:r w:rsidRPr="0054153C">
        <w:rPr>
          <w:rFonts w:ascii="Trebuchet MS" w:hAnsi="Trebuchet MS"/>
          <w:color w:val="000000" w:themeColor="text1"/>
        </w:rPr>
        <w:t xml:space="preserve">NB : </w:t>
      </w:r>
      <w:r>
        <w:rPr>
          <w:rFonts w:ascii="Trebuchet MS" w:hAnsi="Trebuchet MS"/>
          <w:color w:val="000000" w:themeColor="text1"/>
        </w:rPr>
        <w:t>les candidats peuvent ajoute</w:t>
      </w:r>
      <w:r w:rsidR="00D8507E">
        <w:rPr>
          <w:rFonts w:ascii="Trebuchet MS" w:hAnsi="Trebuchet MS"/>
          <w:color w:val="000000" w:themeColor="text1"/>
        </w:rPr>
        <w:t>r</w:t>
      </w:r>
      <w:r>
        <w:rPr>
          <w:rFonts w:ascii="Trebuchet MS" w:hAnsi="Trebuchet MS"/>
          <w:color w:val="000000" w:themeColor="text1"/>
        </w:rPr>
        <w:t xml:space="preserve">, </w:t>
      </w:r>
      <w:r w:rsidRPr="0054153C">
        <w:rPr>
          <w:rFonts w:ascii="Trebuchet MS" w:hAnsi="Trebuchet MS"/>
          <w:color w:val="000000" w:themeColor="text1"/>
        </w:rPr>
        <w:t xml:space="preserve">modifier </w:t>
      </w:r>
      <w:r>
        <w:rPr>
          <w:rFonts w:ascii="Trebuchet MS" w:hAnsi="Trebuchet MS"/>
          <w:color w:val="000000" w:themeColor="text1"/>
        </w:rPr>
        <w:t xml:space="preserve">ou fusionner </w:t>
      </w:r>
      <w:r w:rsidRPr="0054153C">
        <w:rPr>
          <w:rFonts w:ascii="Trebuchet MS" w:hAnsi="Trebuchet MS"/>
          <w:color w:val="000000" w:themeColor="text1"/>
        </w:rPr>
        <w:t>des lignes</w:t>
      </w:r>
      <w:r>
        <w:rPr>
          <w:rFonts w:ascii="Trebuchet MS" w:hAnsi="Trebuchet MS"/>
          <w:color w:val="000000" w:themeColor="text1"/>
        </w:rPr>
        <w:t xml:space="preserve"> ou des colonnes</w:t>
      </w:r>
      <w:r w:rsidRPr="0054153C">
        <w:rPr>
          <w:rFonts w:ascii="Trebuchet MS" w:hAnsi="Trebuchet MS"/>
          <w:color w:val="000000" w:themeColor="text1"/>
        </w:rPr>
        <w:t xml:space="preserve"> en fonction des types de dépenses liées au projet</w:t>
      </w:r>
    </w:p>
    <w:p w14:paraId="549DD482" w14:textId="77777777" w:rsidR="00C937BA" w:rsidRDefault="00C937BA" w:rsidP="00C937BA">
      <w:pPr>
        <w:jc w:val="both"/>
        <w:rPr>
          <w:rFonts w:ascii="Trebuchet MS" w:hAnsi="Trebuchet MS"/>
          <w:b/>
        </w:rPr>
      </w:pPr>
      <w:r w:rsidRPr="00C937BA">
        <w:rPr>
          <w:rFonts w:ascii="Trebuchet MS" w:hAnsi="Trebuchet MS"/>
          <w:b/>
        </w:rPr>
        <w:t>Les projets ayant des sources de financement diversifiés et notamment des co-financements venant du monde socio-économique seront privilégiés.</w:t>
      </w:r>
    </w:p>
    <w:p w14:paraId="45EE668D" w14:textId="77777777" w:rsidR="00C937BA" w:rsidRPr="00C937BA" w:rsidRDefault="00C937BA" w:rsidP="00C937BA">
      <w:pPr>
        <w:spacing w:before="60"/>
        <w:jc w:val="both"/>
        <w:rPr>
          <w:rFonts w:ascii="Trebuchet MS" w:hAnsi="Trebuchet MS"/>
          <w:b/>
        </w:rPr>
      </w:pPr>
      <w:r w:rsidRPr="00C937BA">
        <w:rPr>
          <w:rFonts w:ascii="Trebuchet MS" w:hAnsi="Trebuchet MS"/>
          <w:b/>
        </w:rPr>
        <w:t>Les dépenses de personnel ne pourront pas excéder 25% du coût total du projet.</w:t>
      </w:r>
    </w:p>
    <w:p w14:paraId="65E11B91" w14:textId="77777777" w:rsidR="00C937BA" w:rsidRPr="00E520EE" w:rsidRDefault="00C937BA" w:rsidP="006A7DDF">
      <w:pPr>
        <w:spacing w:after="160" w:line="259" w:lineRule="auto"/>
        <w:jc w:val="both"/>
        <w:rPr>
          <w:rFonts w:ascii="Trebuchet MS" w:hAnsi="Trebuchet MS"/>
          <w:color w:val="000000" w:themeColor="text1"/>
          <w:sz w:val="18"/>
        </w:rPr>
      </w:pPr>
      <w:r w:rsidRPr="00E520EE">
        <w:rPr>
          <w:rFonts w:ascii="Trebuchet MS" w:eastAsia="Times New Roman" w:hAnsi="Trebuchet MS" w:cs="Times New Roman"/>
          <w:b/>
          <w:bCs/>
          <w:i w:val="0"/>
          <w:iCs w:val="0"/>
          <w:color w:val="000000"/>
          <w:szCs w:val="22"/>
        </w:rPr>
        <w:t xml:space="preserve">* </w:t>
      </w:r>
      <w:r w:rsidRPr="00E520EE">
        <w:rPr>
          <w:rFonts w:ascii="Trebuchet MS" w:hAnsi="Trebuchet MS" w:cstheme="minorHAnsi"/>
          <w:noProof/>
          <w:szCs w:val="22"/>
        </w:rPr>
        <w:t xml:space="preserve">En ce qui concerne les heures de vacations destinées à la coordination du projet pour des titulaires de la fonction publique d’Etat ou des non-titulaires d’AMU, les grilles de rémunération ci-dessous permettent aux porteurs de projets d’estimer leurs coûts. </w:t>
      </w:r>
    </w:p>
    <w:tbl>
      <w:tblPr>
        <w:tblW w:w="9440" w:type="dxa"/>
        <w:tblCellMar>
          <w:left w:w="70" w:type="dxa"/>
          <w:right w:w="70" w:type="dxa"/>
        </w:tblCellMar>
        <w:tblLook w:val="04A0" w:firstRow="1" w:lastRow="0" w:firstColumn="1" w:lastColumn="0" w:noHBand="0" w:noVBand="1"/>
      </w:tblPr>
      <w:tblGrid>
        <w:gridCol w:w="4040"/>
        <w:gridCol w:w="2700"/>
        <w:gridCol w:w="2700"/>
      </w:tblGrid>
      <w:tr w:rsidR="00C937BA" w:rsidRPr="009947F1" w14:paraId="7015A56D" w14:textId="77777777" w:rsidTr="009840CB">
        <w:trPr>
          <w:trHeight w:val="402"/>
        </w:trPr>
        <w:tc>
          <w:tcPr>
            <w:tcW w:w="9440" w:type="dxa"/>
            <w:gridSpan w:val="3"/>
            <w:tcBorders>
              <w:top w:val="single" w:sz="8" w:space="0" w:color="auto"/>
              <w:left w:val="single" w:sz="8" w:space="0" w:color="auto"/>
              <w:bottom w:val="single" w:sz="8" w:space="0" w:color="auto"/>
              <w:right w:val="single" w:sz="8" w:space="0" w:color="000000"/>
            </w:tcBorders>
            <w:shd w:val="clear" w:color="000000" w:fill="AEAAAA"/>
            <w:noWrap/>
            <w:vAlign w:val="center"/>
            <w:hideMark/>
          </w:tcPr>
          <w:p w14:paraId="07EB7C8B" w14:textId="77777777" w:rsidR="00C937BA" w:rsidRPr="00E520EE" w:rsidRDefault="00C937BA" w:rsidP="009840CB">
            <w:pPr>
              <w:spacing w:after="0" w:line="240" w:lineRule="auto"/>
              <w:jc w:val="center"/>
              <w:rPr>
                <w:rFonts w:ascii="Trebuchet MS" w:eastAsia="Times New Roman" w:hAnsi="Trebuchet MS" w:cs="Calibri"/>
                <w:b/>
                <w:bCs/>
                <w:i w:val="0"/>
                <w:iCs w:val="0"/>
                <w:szCs w:val="22"/>
              </w:rPr>
            </w:pPr>
            <w:bookmarkStart w:id="0" w:name="RANGE!B5:D11"/>
            <w:r w:rsidRPr="00E520EE">
              <w:rPr>
                <w:rFonts w:ascii="Trebuchet MS" w:eastAsia="Times New Roman" w:hAnsi="Trebuchet MS" w:cs="Calibri"/>
                <w:b/>
                <w:bCs/>
                <w:i w:val="0"/>
                <w:iCs w:val="0"/>
                <w:szCs w:val="22"/>
              </w:rPr>
              <w:t>Rémunération des heures de vacations</w:t>
            </w:r>
            <w:bookmarkEnd w:id="0"/>
          </w:p>
        </w:tc>
      </w:tr>
      <w:tr w:rsidR="00C937BA" w:rsidRPr="009947F1" w14:paraId="1AC5BADA" w14:textId="77777777" w:rsidTr="009840CB">
        <w:trPr>
          <w:trHeight w:val="765"/>
        </w:trPr>
        <w:tc>
          <w:tcPr>
            <w:tcW w:w="4040" w:type="dxa"/>
            <w:tcBorders>
              <w:top w:val="nil"/>
              <w:left w:val="single" w:sz="8" w:space="0" w:color="auto"/>
              <w:bottom w:val="single" w:sz="4" w:space="0" w:color="auto"/>
              <w:right w:val="single" w:sz="4" w:space="0" w:color="auto"/>
            </w:tcBorders>
            <w:shd w:val="clear" w:color="000000" w:fill="BDD7EE"/>
            <w:noWrap/>
            <w:vAlign w:val="center"/>
            <w:hideMark/>
          </w:tcPr>
          <w:p w14:paraId="09784B00" w14:textId="77777777" w:rsidR="00C937BA" w:rsidRPr="00E520EE" w:rsidRDefault="00C937BA" w:rsidP="009840CB">
            <w:pPr>
              <w:spacing w:after="0" w:line="240" w:lineRule="auto"/>
              <w:rPr>
                <w:rFonts w:ascii="Trebuchet MS" w:eastAsia="Times New Roman" w:hAnsi="Trebuchet MS" w:cs="Calibri"/>
                <w:b/>
                <w:bCs/>
                <w:i w:val="0"/>
                <w:iCs w:val="0"/>
                <w:szCs w:val="22"/>
              </w:rPr>
            </w:pPr>
            <w:r w:rsidRPr="00E520EE">
              <w:rPr>
                <w:rFonts w:ascii="Trebuchet MS" w:eastAsia="Times New Roman" w:hAnsi="Trebuchet MS" w:cs="Calibri"/>
                <w:b/>
                <w:bCs/>
                <w:i w:val="0"/>
                <w:iCs w:val="0"/>
                <w:szCs w:val="22"/>
              </w:rPr>
              <w:t>Personnels titulaires :</w:t>
            </w:r>
          </w:p>
        </w:tc>
        <w:tc>
          <w:tcPr>
            <w:tcW w:w="2700" w:type="dxa"/>
            <w:tcBorders>
              <w:top w:val="nil"/>
              <w:left w:val="nil"/>
              <w:bottom w:val="single" w:sz="4" w:space="0" w:color="auto"/>
              <w:right w:val="single" w:sz="4" w:space="0" w:color="auto"/>
            </w:tcBorders>
            <w:shd w:val="clear" w:color="000000" w:fill="BDD7EE"/>
            <w:vAlign w:val="center"/>
            <w:hideMark/>
          </w:tcPr>
          <w:p w14:paraId="66E1F0FA"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Rémunération horaire brute</w:t>
            </w:r>
          </w:p>
        </w:tc>
        <w:tc>
          <w:tcPr>
            <w:tcW w:w="2700" w:type="dxa"/>
            <w:tcBorders>
              <w:top w:val="nil"/>
              <w:left w:val="nil"/>
              <w:bottom w:val="single" w:sz="4" w:space="0" w:color="auto"/>
              <w:right w:val="single" w:sz="8" w:space="0" w:color="auto"/>
            </w:tcBorders>
            <w:shd w:val="clear" w:color="000000" w:fill="BDD7EE"/>
            <w:noWrap/>
            <w:vAlign w:val="center"/>
            <w:hideMark/>
          </w:tcPr>
          <w:p w14:paraId="04E68695"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Coût chargé horaire</w:t>
            </w:r>
          </w:p>
        </w:tc>
      </w:tr>
      <w:tr w:rsidR="00C937BA" w:rsidRPr="009947F1" w14:paraId="60A9D338" w14:textId="77777777" w:rsidTr="009840CB">
        <w:trPr>
          <w:trHeight w:val="600"/>
        </w:trPr>
        <w:tc>
          <w:tcPr>
            <w:tcW w:w="4040" w:type="dxa"/>
            <w:tcBorders>
              <w:top w:val="nil"/>
              <w:left w:val="single" w:sz="8" w:space="0" w:color="auto"/>
              <w:bottom w:val="single" w:sz="4" w:space="0" w:color="auto"/>
              <w:right w:val="single" w:sz="4" w:space="0" w:color="auto"/>
            </w:tcBorders>
            <w:shd w:val="clear" w:color="auto" w:fill="auto"/>
            <w:vAlign w:val="center"/>
            <w:hideMark/>
          </w:tcPr>
          <w:p w14:paraId="2E9E03EE" w14:textId="77777777" w:rsidR="00C937BA" w:rsidRPr="00E520EE" w:rsidRDefault="00C937BA" w:rsidP="009840CB">
            <w:pPr>
              <w:spacing w:after="0" w:line="240" w:lineRule="auto"/>
              <w:rPr>
                <w:rFonts w:ascii="Trebuchet MS" w:eastAsia="Times New Roman" w:hAnsi="Trebuchet MS" w:cs="Calibri"/>
                <w:i w:val="0"/>
                <w:iCs w:val="0"/>
                <w:szCs w:val="22"/>
              </w:rPr>
            </w:pPr>
            <w:r w:rsidRPr="00E520EE">
              <w:rPr>
                <w:rFonts w:ascii="Trebuchet MS" w:eastAsia="Times New Roman" w:hAnsi="Trebuchet MS" w:cs="Calibri"/>
                <w:i w:val="0"/>
                <w:iCs w:val="0"/>
                <w:szCs w:val="22"/>
              </w:rPr>
              <w:t>Catégorie C</w:t>
            </w:r>
          </w:p>
        </w:tc>
        <w:tc>
          <w:tcPr>
            <w:tcW w:w="2700" w:type="dxa"/>
            <w:tcBorders>
              <w:top w:val="nil"/>
              <w:left w:val="nil"/>
              <w:bottom w:val="single" w:sz="4" w:space="0" w:color="auto"/>
              <w:right w:val="single" w:sz="4" w:space="0" w:color="auto"/>
            </w:tcBorders>
            <w:shd w:val="clear" w:color="auto" w:fill="auto"/>
            <w:vAlign w:val="center"/>
            <w:hideMark/>
          </w:tcPr>
          <w:p w14:paraId="7F0986EA"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10,57 € brut/heure</w:t>
            </w:r>
          </w:p>
        </w:tc>
        <w:tc>
          <w:tcPr>
            <w:tcW w:w="2700" w:type="dxa"/>
            <w:tcBorders>
              <w:top w:val="nil"/>
              <w:left w:val="nil"/>
              <w:bottom w:val="single" w:sz="4" w:space="0" w:color="auto"/>
              <w:right w:val="single" w:sz="8" w:space="0" w:color="auto"/>
            </w:tcBorders>
            <w:shd w:val="clear" w:color="auto" w:fill="auto"/>
            <w:noWrap/>
            <w:vAlign w:val="center"/>
            <w:hideMark/>
          </w:tcPr>
          <w:p w14:paraId="2B89CDD3"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11,10 €/heure</w:t>
            </w:r>
          </w:p>
        </w:tc>
      </w:tr>
      <w:tr w:rsidR="00C937BA" w:rsidRPr="009947F1" w14:paraId="342B275D" w14:textId="77777777" w:rsidTr="009840CB">
        <w:trPr>
          <w:trHeight w:val="600"/>
        </w:trPr>
        <w:tc>
          <w:tcPr>
            <w:tcW w:w="4040" w:type="dxa"/>
            <w:tcBorders>
              <w:top w:val="nil"/>
              <w:left w:val="single" w:sz="8" w:space="0" w:color="auto"/>
              <w:bottom w:val="single" w:sz="4" w:space="0" w:color="auto"/>
              <w:right w:val="single" w:sz="4" w:space="0" w:color="auto"/>
            </w:tcBorders>
            <w:shd w:val="clear" w:color="auto" w:fill="auto"/>
            <w:vAlign w:val="center"/>
            <w:hideMark/>
          </w:tcPr>
          <w:p w14:paraId="6E18F4B1" w14:textId="77777777" w:rsidR="00C937BA" w:rsidRPr="00E520EE" w:rsidRDefault="00C937BA" w:rsidP="009840CB">
            <w:pPr>
              <w:spacing w:after="0" w:line="240" w:lineRule="auto"/>
              <w:rPr>
                <w:rFonts w:ascii="Trebuchet MS" w:eastAsia="Times New Roman" w:hAnsi="Trebuchet MS" w:cs="Calibri"/>
                <w:i w:val="0"/>
                <w:iCs w:val="0"/>
                <w:szCs w:val="22"/>
              </w:rPr>
            </w:pPr>
            <w:r w:rsidRPr="00E520EE">
              <w:rPr>
                <w:rFonts w:ascii="Trebuchet MS" w:eastAsia="Times New Roman" w:hAnsi="Trebuchet MS" w:cs="Calibri"/>
                <w:i w:val="0"/>
                <w:iCs w:val="0"/>
                <w:szCs w:val="22"/>
              </w:rPr>
              <w:t>Catégorie B</w:t>
            </w:r>
          </w:p>
        </w:tc>
        <w:tc>
          <w:tcPr>
            <w:tcW w:w="2700" w:type="dxa"/>
            <w:tcBorders>
              <w:top w:val="nil"/>
              <w:left w:val="nil"/>
              <w:bottom w:val="single" w:sz="4" w:space="0" w:color="auto"/>
              <w:right w:val="single" w:sz="4" w:space="0" w:color="auto"/>
            </w:tcBorders>
            <w:shd w:val="clear" w:color="auto" w:fill="auto"/>
            <w:noWrap/>
            <w:vAlign w:val="center"/>
            <w:hideMark/>
          </w:tcPr>
          <w:p w14:paraId="4E7012FA"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13,79 € brut/heure</w:t>
            </w:r>
          </w:p>
        </w:tc>
        <w:tc>
          <w:tcPr>
            <w:tcW w:w="2700" w:type="dxa"/>
            <w:tcBorders>
              <w:top w:val="nil"/>
              <w:left w:val="nil"/>
              <w:bottom w:val="single" w:sz="4" w:space="0" w:color="auto"/>
              <w:right w:val="single" w:sz="8" w:space="0" w:color="auto"/>
            </w:tcBorders>
            <w:shd w:val="clear" w:color="auto" w:fill="auto"/>
            <w:noWrap/>
            <w:vAlign w:val="center"/>
            <w:hideMark/>
          </w:tcPr>
          <w:p w14:paraId="3C94D138"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14,50 €/heure</w:t>
            </w:r>
          </w:p>
        </w:tc>
      </w:tr>
      <w:tr w:rsidR="00C937BA" w:rsidRPr="009947F1" w14:paraId="294D50FE" w14:textId="77777777" w:rsidTr="009840CB">
        <w:trPr>
          <w:trHeight w:val="600"/>
        </w:trPr>
        <w:tc>
          <w:tcPr>
            <w:tcW w:w="4040" w:type="dxa"/>
            <w:tcBorders>
              <w:top w:val="nil"/>
              <w:left w:val="single" w:sz="8" w:space="0" w:color="auto"/>
              <w:bottom w:val="single" w:sz="4" w:space="0" w:color="auto"/>
              <w:right w:val="single" w:sz="4" w:space="0" w:color="auto"/>
            </w:tcBorders>
            <w:shd w:val="clear" w:color="auto" w:fill="auto"/>
            <w:vAlign w:val="center"/>
            <w:hideMark/>
          </w:tcPr>
          <w:p w14:paraId="7691E257" w14:textId="77777777" w:rsidR="00C937BA" w:rsidRPr="00E520EE" w:rsidRDefault="00C937BA" w:rsidP="009840CB">
            <w:pPr>
              <w:spacing w:after="0" w:line="240" w:lineRule="auto"/>
              <w:rPr>
                <w:rFonts w:ascii="Trebuchet MS" w:eastAsia="Times New Roman" w:hAnsi="Trebuchet MS" w:cs="Calibri"/>
                <w:i w:val="0"/>
                <w:iCs w:val="0"/>
                <w:szCs w:val="22"/>
              </w:rPr>
            </w:pPr>
            <w:r w:rsidRPr="00E520EE">
              <w:rPr>
                <w:rFonts w:ascii="Trebuchet MS" w:eastAsia="Times New Roman" w:hAnsi="Trebuchet MS" w:cs="Calibri"/>
                <w:i w:val="0"/>
                <w:iCs w:val="0"/>
                <w:szCs w:val="22"/>
              </w:rPr>
              <w:t>Catégorie A</w:t>
            </w:r>
          </w:p>
        </w:tc>
        <w:tc>
          <w:tcPr>
            <w:tcW w:w="2700" w:type="dxa"/>
            <w:tcBorders>
              <w:top w:val="nil"/>
              <w:left w:val="nil"/>
              <w:bottom w:val="single" w:sz="4" w:space="0" w:color="auto"/>
              <w:right w:val="single" w:sz="4" w:space="0" w:color="auto"/>
            </w:tcBorders>
            <w:shd w:val="clear" w:color="auto" w:fill="auto"/>
            <w:noWrap/>
            <w:vAlign w:val="center"/>
            <w:hideMark/>
          </w:tcPr>
          <w:p w14:paraId="55A50F5A"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 xml:space="preserve">21,15 € brut/heure </w:t>
            </w:r>
          </w:p>
        </w:tc>
        <w:tc>
          <w:tcPr>
            <w:tcW w:w="2700" w:type="dxa"/>
            <w:tcBorders>
              <w:top w:val="nil"/>
              <w:left w:val="nil"/>
              <w:bottom w:val="single" w:sz="4" w:space="0" w:color="auto"/>
              <w:right w:val="single" w:sz="8" w:space="0" w:color="auto"/>
            </w:tcBorders>
            <w:shd w:val="clear" w:color="auto" w:fill="auto"/>
            <w:noWrap/>
            <w:vAlign w:val="center"/>
            <w:hideMark/>
          </w:tcPr>
          <w:p w14:paraId="384AD154"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22,21 €/heure</w:t>
            </w:r>
          </w:p>
        </w:tc>
      </w:tr>
      <w:tr w:rsidR="00C937BA" w:rsidRPr="009947F1" w14:paraId="1442531C" w14:textId="77777777" w:rsidTr="006A7DDF">
        <w:trPr>
          <w:trHeight w:val="600"/>
        </w:trPr>
        <w:tc>
          <w:tcPr>
            <w:tcW w:w="4040" w:type="dxa"/>
            <w:tcBorders>
              <w:top w:val="nil"/>
              <w:left w:val="single" w:sz="8" w:space="0" w:color="auto"/>
              <w:bottom w:val="single" w:sz="4" w:space="0" w:color="auto"/>
              <w:right w:val="single" w:sz="4" w:space="0" w:color="auto"/>
            </w:tcBorders>
            <w:shd w:val="clear" w:color="auto" w:fill="auto"/>
            <w:vAlign w:val="center"/>
            <w:hideMark/>
          </w:tcPr>
          <w:p w14:paraId="1628F312" w14:textId="77777777" w:rsidR="00C937BA" w:rsidRPr="00E520EE" w:rsidRDefault="00C937BA" w:rsidP="009840CB">
            <w:pPr>
              <w:spacing w:after="0" w:line="240" w:lineRule="auto"/>
              <w:rPr>
                <w:rFonts w:ascii="Trebuchet MS" w:eastAsia="Times New Roman" w:hAnsi="Trebuchet MS" w:cs="Calibri"/>
                <w:i w:val="0"/>
                <w:iCs w:val="0"/>
                <w:szCs w:val="22"/>
              </w:rPr>
            </w:pPr>
            <w:r w:rsidRPr="00E520EE">
              <w:rPr>
                <w:rFonts w:ascii="Trebuchet MS" w:eastAsia="Times New Roman" w:hAnsi="Trebuchet MS" w:cs="Calibri"/>
                <w:i w:val="0"/>
                <w:iCs w:val="0"/>
                <w:szCs w:val="22"/>
              </w:rPr>
              <w:t>Catégorie A au-delà IB 1015 / INM 821</w:t>
            </w:r>
          </w:p>
        </w:tc>
        <w:tc>
          <w:tcPr>
            <w:tcW w:w="2700" w:type="dxa"/>
            <w:tcBorders>
              <w:top w:val="nil"/>
              <w:left w:val="nil"/>
              <w:bottom w:val="single" w:sz="8" w:space="0" w:color="auto"/>
              <w:right w:val="single" w:sz="4" w:space="0" w:color="auto"/>
            </w:tcBorders>
            <w:shd w:val="clear" w:color="auto" w:fill="auto"/>
            <w:noWrap/>
            <w:vAlign w:val="center"/>
            <w:hideMark/>
          </w:tcPr>
          <w:p w14:paraId="3C01C85D"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31,75 € brut/heure</w:t>
            </w:r>
          </w:p>
        </w:tc>
        <w:tc>
          <w:tcPr>
            <w:tcW w:w="2700" w:type="dxa"/>
            <w:tcBorders>
              <w:top w:val="nil"/>
              <w:left w:val="nil"/>
              <w:bottom w:val="single" w:sz="8" w:space="0" w:color="auto"/>
              <w:right w:val="single" w:sz="8" w:space="0" w:color="auto"/>
            </w:tcBorders>
            <w:shd w:val="clear" w:color="auto" w:fill="auto"/>
            <w:noWrap/>
            <w:vAlign w:val="center"/>
            <w:hideMark/>
          </w:tcPr>
          <w:p w14:paraId="2B7074EC"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33,34 €/heure</w:t>
            </w:r>
          </w:p>
        </w:tc>
      </w:tr>
      <w:tr w:rsidR="00C937BA" w:rsidRPr="009947F1" w14:paraId="7C7D768E" w14:textId="77777777" w:rsidTr="001E4018">
        <w:trPr>
          <w:trHeight w:val="1682"/>
        </w:trPr>
        <w:tc>
          <w:tcPr>
            <w:tcW w:w="4040" w:type="dxa"/>
            <w:tcBorders>
              <w:top w:val="single" w:sz="4" w:space="0" w:color="auto"/>
              <w:left w:val="single" w:sz="8" w:space="0" w:color="auto"/>
              <w:bottom w:val="single" w:sz="8" w:space="0" w:color="auto"/>
              <w:right w:val="single" w:sz="4" w:space="0" w:color="auto"/>
            </w:tcBorders>
            <w:shd w:val="clear" w:color="000000" w:fill="C6E0B4"/>
            <w:vAlign w:val="center"/>
            <w:hideMark/>
          </w:tcPr>
          <w:p w14:paraId="4F7B16B0" w14:textId="77777777" w:rsidR="00C937BA" w:rsidRPr="00E520EE" w:rsidRDefault="00C937BA" w:rsidP="009840CB">
            <w:pPr>
              <w:spacing w:after="0" w:line="240" w:lineRule="auto"/>
              <w:rPr>
                <w:rFonts w:ascii="Trebuchet MS" w:eastAsia="Times New Roman" w:hAnsi="Trebuchet MS" w:cs="Calibri"/>
                <w:b/>
                <w:bCs/>
                <w:i w:val="0"/>
                <w:iCs w:val="0"/>
                <w:szCs w:val="22"/>
              </w:rPr>
            </w:pPr>
            <w:r w:rsidRPr="00E520EE">
              <w:rPr>
                <w:rFonts w:ascii="Trebuchet MS" w:eastAsia="Times New Roman" w:hAnsi="Trebuchet MS" w:cs="Calibri"/>
                <w:b/>
                <w:bCs/>
                <w:i w:val="0"/>
                <w:iCs w:val="0"/>
                <w:szCs w:val="22"/>
              </w:rPr>
              <w:t>Personnels non-titulaires :</w:t>
            </w:r>
            <w:r w:rsidRPr="00E520EE">
              <w:rPr>
                <w:rFonts w:ascii="Trebuchet MS" w:eastAsia="Times New Roman" w:hAnsi="Trebuchet MS" w:cs="Calibri"/>
                <w:b/>
                <w:bCs/>
                <w:i w:val="0"/>
                <w:iCs w:val="0"/>
                <w:szCs w:val="22"/>
              </w:rPr>
              <w:br/>
            </w:r>
            <w:r w:rsidRPr="00E520EE">
              <w:rPr>
                <w:rFonts w:ascii="Trebuchet MS" w:eastAsia="Times New Roman" w:hAnsi="Trebuchet MS" w:cs="Calibri"/>
                <w:b/>
                <w:bCs/>
                <w:i w:val="0"/>
                <w:iCs w:val="0"/>
                <w:szCs w:val="22"/>
              </w:rPr>
              <w:br/>
              <w:t>*</w:t>
            </w:r>
            <w:r w:rsidRPr="00E520EE">
              <w:rPr>
                <w:rFonts w:ascii="Trebuchet MS" w:eastAsia="Times New Roman" w:hAnsi="Trebuchet MS" w:cs="Calibri"/>
              </w:rPr>
              <w:t>ANT = Agents non titulaires</w:t>
            </w:r>
          </w:p>
        </w:tc>
        <w:tc>
          <w:tcPr>
            <w:tcW w:w="5400" w:type="dxa"/>
            <w:gridSpan w:val="2"/>
            <w:tcBorders>
              <w:top w:val="single" w:sz="8" w:space="0" w:color="auto"/>
              <w:left w:val="nil"/>
              <w:bottom w:val="single" w:sz="8" w:space="0" w:color="auto"/>
              <w:right w:val="single" w:sz="8" w:space="0" w:color="000000"/>
            </w:tcBorders>
            <w:shd w:val="clear" w:color="auto" w:fill="auto"/>
            <w:vAlign w:val="center"/>
            <w:hideMark/>
          </w:tcPr>
          <w:p w14:paraId="40223CA6" w14:textId="77777777" w:rsidR="00C937BA" w:rsidRPr="00E520EE" w:rsidRDefault="00C937BA" w:rsidP="009840CB">
            <w:pPr>
              <w:spacing w:after="0" w:line="240" w:lineRule="auto"/>
              <w:jc w:val="center"/>
              <w:rPr>
                <w:rFonts w:ascii="Trebuchet MS" w:eastAsia="Times New Roman" w:hAnsi="Trebuchet MS" w:cs="Calibri"/>
                <w:i w:val="0"/>
                <w:iCs w:val="0"/>
                <w:szCs w:val="22"/>
              </w:rPr>
            </w:pPr>
            <w:r w:rsidRPr="00E520EE">
              <w:rPr>
                <w:rFonts w:ascii="Trebuchet MS" w:eastAsia="Times New Roman" w:hAnsi="Trebuchet MS" w:cs="Calibri"/>
                <w:i w:val="0"/>
                <w:iCs w:val="0"/>
                <w:szCs w:val="22"/>
              </w:rPr>
              <w:t>Seuls les ANT* AMU peuvent bénéficier de vacations</w:t>
            </w:r>
            <w:r w:rsidRPr="00E520EE">
              <w:rPr>
                <w:rFonts w:ascii="Trebuchet MS" w:eastAsia="Times New Roman" w:hAnsi="Trebuchet MS" w:cs="Calibri"/>
                <w:i w:val="0"/>
                <w:iCs w:val="0"/>
                <w:szCs w:val="22"/>
              </w:rPr>
              <w:br/>
              <w:t>les ANT hors AMU ne peuvent pas être rémunérés par le biais des vacations</w:t>
            </w:r>
            <w:r w:rsidRPr="00E520EE">
              <w:rPr>
                <w:rFonts w:ascii="Trebuchet MS" w:eastAsia="Times New Roman" w:hAnsi="Trebuchet MS" w:cs="Calibri"/>
                <w:i w:val="0"/>
                <w:iCs w:val="0"/>
                <w:szCs w:val="22"/>
              </w:rPr>
              <w:br/>
              <w:t>Le montant de l'indemnité horaire est calculé selon l'indice INM détenu par l'agent, majoré de 45% pour le coût chargé (</w:t>
            </w:r>
            <w:r w:rsidRPr="00E520EE">
              <w:rPr>
                <w:rFonts w:ascii="Trebuchet MS" w:eastAsia="Times New Roman" w:hAnsi="Trebuchet MS" w:cs="Calibri"/>
                <w:iCs w:val="0"/>
                <w:szCs w:val="22"/>
              </w:rPr>
              <w:t>cf. vade-mecum RH sur le site d’A*</w:t>
            </w:r>
            <w:proofErr w:type="spellStart"/>
            <w:r w:rsidRPr="00E520EE">
              <w:rPr>
                <w:rFonts w:ascii="Trebuchet MS" w:eastAsia="Times New Roman" w:hAnsi="Trebuchet MS" w:cs="Calibri"/>
                <w:iCs w:val="0"/>
                <w:szCs w:val="22"/>
              </w:rPr>
              <w:t>Midex</w:t>
            </w:r>
            <w:proofErr w:type="spellEnd"/>
            <w:r w:rsidRPr="00E520EE">
              <w:rPr>
                <w:rFonts w:ascii="Trebuchet MS" w:eastAsia="Times New Roman" w:hAnsi="Trebuchet MS" w:cs="Calibri"/>
                <w:i w:val="0"/>
                <w:iCs w:val="0"/>
                <w:szCs w:val="22"/>
              </w:rPr>
              <w:t>)</w:t>
            </w:r>
          </w:p>
        </w:tc>
      </w:tr>
    </w:tbl>
    <w:p w14:paraId="75D127D0" w14:textId="77777777" w:rsidR="00C937BA" w:rsidRPr="00B34514" w:rsidRDefault="00C937BA" w:rsidP="00501848">
      <w:pPr>
        <w:spacing w:before="60"/>
        <w:jc w:val="both"/>
        <w:rPr>
          <w:rFonts w:ascii="Trebuchet MS" w:hAnsi="Trebuchet MS" w:cstheme="minorHAnsi"/>
          <w:b/>
          <w:noProof/>
          <w:sz w:val="22"/>
          <w:szCs w:val="26"/>
        </w:rPr>
      </w:pPr>
      <w:r w:rsidRPr="00B34514">
        <w:rPr>
          <w:rFonts w:ascii="Trebuchet MS" w:hAnsi="Trebuchet MS" w:cstheme="minorHAnsi"/>
          <w:b/>
          <w:noProof/>
          <w:sz w:val="22"/>
          <w:szCs w:val="26"/>
        </w:rPr>
        <w:lastRenderedPageBreak/>
        <w:t>Pour rappel, liste</w:t>
      </w:r>
      <w:r w:rsidR="006A7DDF" w:rsidRPr="00B34514">
        <w:rPr>
          <w:rFonts w:ascii="Trebuchet MS" w:hAnsi="Trebuchet MS" w:cstheme="minorHAnsi"/>
          <w:b/>
          <w:noProof/>
          <w:sz w:val="22"/>
          <w:szCs w:val="26"/>
        </w:rPr>
        <w:t xml:space="preserve"> des dépenses éligibles (point 6</w:t>
      </w:r>
      <w:r w:rsidRPr="00B34514">
        <w:rPr>
          <w:rFonts w:ascii="Trebuchet MS" w:hAnsi="Trebuchet MS" w:cstheme="minorHAnsi"/>
          <w:b/>
          <w:noProof/>
          <w:sz w:val="22"/>
          <w:szCs w:val="26"/>
        </w:rPr>
        <w:t>. Du texte de l’appel à projets)</w:t>
      </w:r>
    </w:p>
    <w:p w14:paraId="73F157F6" w14:textId="77777777" w:rsidR="00501848" w:rsidRPr="00B34514" w:rsidRDefault="00501848" w:rsidP="00501848">
      <w:pPr>
        <w:spacing w:before="60"/>
        <w:jc w:val="both"/>
        <w:rPr>
          <w:rFonts w:ascii="Trebuchet MS" w:hAnsi="Trebuchet MS" w:cstheme="minorHAnsi"/>
          <w:b/>
          <w:noProof/>
          <w:szCs w:val="22"/>
        </w:rPr>
      </w:pPr>
      <w:r w:rsidRPr="00B34514">
        <w:rPr>
          <w:rFonts w:ascii="Trebuchet MS" w:hAnsi="Trebuchet MS" w:cstheme="minorHAnsi"/>
          <w:b/>
          <w:noProof/>
          <w:szCs w:val="22"/>
        </w:rPr>
        <w:t>Dépenses de personnel éligibles :</w:t>
      </w:r>
    </w:p>
    <w:p w14:paraId="0CC86CE2" w14:textId="7FE3AAD8" w:rsidR="00501848" w:rsidRPr="00B34514" w:rsidRDefault="00501848" w:rsidP="00501848">
      <w:pPr>
        <w:spacing w:before="60"/>
        <w:jc w:val="both"/>
        <w:rPr>
          <w:rFonts w:ascii="Trebuchet MS" w:hAnsi="Trebuchet MS" w:cstheme="minorHAnsi"/>
          <w:b/>
          <w:noProof/>
          <w:color w:val="FF0000"/>
          <w:szCs w:val="22"/>
        </w:rPr>
      </w:pPr>
      <w:r w:rsidRPr="00B34514">
        <w:rPr>
          <w:rFonts w:ascii="Trebuchet MS" w:hAnsi="Trebuchet MS" w:cstheme="minorHAnsi"/>
          <w:noProof/>
          <w:szCs w:val="22"/>
        </w:rPr>
        <w:t>- Heures de vacations destinées à la coordination</w:t>
      </w:r>
      <w:r w:rsidR="006A7DDF" w:rsidRPr="00B34514">
        <w:rPr>
          <w:rFonts w:ascii="Trebuchet MS" w:hAnsi="Trebuchet MS" w:cstheme="minorHAnsi"/>
          <w:noProof/>
          <w:szCs w:val="22"/>
        </w:rPr>
        <w:t xml:space="preserve"> scientifique</w:t>
      </w:r>
      <w:r w:rsidRPr="00B34514">
        <w:rPr>
          <w:rFonts w:ascii="Trebuchet MS" w:hAnsi="Trebuchet MS" w:cstheme="minorHAnsi"/>
          <w:noProof/>
          <w:szCs w:val="22"/>
        </w:rPr>
        <w:t xml:space="preserve"> du projet pour des titulaires de la fonction publique d’Etat ou</w:t>
      </w:r>
      <w:bookmarkStart w:id="1" w:name="_GoBack"/>
      <w:bookmarkEnd w:id="1"/>
      <w:r w:rsidRPr="00B34514">
        <w:rPr>
          <w:rFonts w:ascii="Trebuchet MS" w:hAnsi="Trebuchet MS" w:cstheme="minorHAnsi"/>
          <w:noProof/>
          <w:szCs w:val="22"/>
        </w:rPr>
        <w:t xml:space="preserve"> des non-titulaires d’AMU. </w:t>
      </w:r>
      <w:r w:rsidR="00E520EE" w:rsidRPr="00B34514">
        <w:rPr>
          <w:rFonts w:ascii="Trebuchet MS" w:hAnsi="Trebuchet MS" w:cstheme="minorHAnsi"/>
          <w:b/>
          <w:noProof/>
          <w:szCs w:val="22"/>
        </w:rPr>
        <w:t>Les heures de vacations administratives destinées à la gestion financière ou administrative du projet ne sont pas éligibles.</w:t>
      </w:r>
      <w:r w:rsidR="00E520EE" w:rsidRPr="00B34514">
        <w:rPr>
          <w:rFonts w:ascii="Trebuchet MS" w:hAnsi="Trebuchet MS" w:cstheme="minorHAnsi"/>
          <w:noProof/>
          <w:szCs w:val="22"/>
        </w:rPr>
        <w:t xml:space="preserve"> </w:t>
      </w:r>
    </w:p>
    <w:p w14:paraId="0005DEF7" w14:textId="77777777" w:rsidR="00501848" w:rsidRPr="00B34514" w:rsidRDefault="00501848" w:rsidP="00501848">
      <w:pPr>
        <w:spacing w:before="60"/>
        <w:jc w:val="both"/>
        <w:rPr>
          <w:rFonts w:ascii="Trebuchet MS" w:hAnsi="Trebuchet MS" w:cstheme="minorHAnsi"/>
          <w:b/>
          <w:noProof/>
          <w:sz w:val="22"/>
          <w:szCs w:val="24"/>
        </w:rPr>
      </w:pPr>
      <w:r w:rsidRPr="00B34514">
        <w:rPr>
          <w:rFonts w:ascii="Trebuchet MS" w:hAnsi="Trebuchet MS" w:cstheme="minorHAnsi"/>
          <w:b/>
          <w:noProof/>
          <w:sz w:val="22"/>
          <w:szCs w:val="24"/>
        </w:rPr>
        <w:t>Les dépenses de personnel ne pourront pas excéder 25% du coût total du projet.</w:t>
      </w:r>
    </w:p>
    <w:p w14:paraId="7C475A6E" w14:textId="77777777" w:rsidR="00501848" w:rsidRPr="00B34514" w:rsidRDefault="00501848" w:rsidP="00501848">
      <w:pPr>
        <w:spacing w:before="60"/>
        <w:jc w:val="both"/>
        <w:rPr>
          <w:rFonts w:ascii="Trebuchet MS" w:hAnsi="Trebuchet MS" w:cstheme="minorHAnsi"/>
          <w:b/>
          <w:noProof/>
          <w:szCs w:val="22"/>
        </w:rPr>
      </w:pPr>
      <w:r w:rsidRPr="00B34514">
        <w:rPr>
          <w:rFonts w:ascii="Trebuchet MS" w:hAnsi="Trebuchet MS" w:cstheme="minorHAnsi"/>
          <w:b/>
          <w:noProof/>
          <w:szCs w:val="22"/>
        </w:rPr>
        <w:t>Dépenses de fonctionnement éligibles</w:t>
      </w:r>
    </w:p>
    <w:p w14:paraId="586530B6" w14:textId="77777777" w:rsidR="00501848" w:rsidRPr="00B34514" w:rsidRDefault="00501848" w:rsidP="00501848">
      <w:pPr>
        <w:spacing w:before="60"/>
        <w:jc w:val="both"/>
        <w:rPr>
          <w:rFonts w:ascii="Trebuchet MS" w:hAnsi="Trebuchet MS" w:cstheme="minorHAnsi"/>
          <w:noProof/>
          <w:szCs w:val="22"/>
        </w:rPr>
      </w:pPr>
      <w:r w:rsidRPr="00B34514">
        <w:rPr>
          <w:rFonts w:ascii="Trebuchet MS" w:hAnsi="Trebuchet MS" w:cstheme="minorHAnsi"/>
          <w:noProof/>
          <w:szCs w:val="22"/>
        </w:rPr>
        <w:t>- Frais liés à l’organisation d’évènements: déplacements des personnels affectés au projet, déplacements d’invités ou de chercheurs-extérieurs, hébergement, frais de visas</w:t>
      </w:r>
    </w:p>
    <w:p w14:paraId="3D0A9C65" w14:textId="77777777" w:rsidR="00501848" w:rsidRPr="00B34514" w:rsidRDefault="00501848" w:rsidP="00501848">
      <w:pPr>
        <w:spacing w:before="60"/>
        <w:jc w:val="both"/>
        <w:rPr>
          <w:rFonts w:ascii="Trebuchet MS" w:hAnsi="Trebuchet MS" w:cstheme="minorHAnsi"/>
          <w:noProof/>
          <w:szCs w:val="22"/>
        </w:rPr>
      </w:pPr>
      <w:r w:rsidRPr="00B34514">
        <w:rPr>
          <w:rFonts w:ascii="Trebuchet MS" w:hAnsi="Trebuchet MS" w:cstheme="minorHAnsi"/>
          <w:noProof/>
          <w:szCs w:val="22"/>
        </w:rPr>
        <w:t xml:space="preserve">- Participation à des colloques : frais d’inscription, frais de missions pour de la mobilité sortante </w:t>
      </w:r>
    </w:p>
    <w:p w14:paraId="5B1EA635" w14:textId="77777777" w:rsidR="00501848" w:rsidRPr="00B34514" w:rsidRDefault="00501848" w:rsidP="00501848">
      <w:pPr>
        <w:spacing w:before="60"/>
        <w:jc w:val="both"/>
        <w:rPr>
          <w:rFonts w:ascii="Trebuchet MS" w:hAnsi="Trebuchet MS" w:cstheme="minorHAnsi"/>
          <w:noProof/>
          <w:szCs w:val="22"/>
        </w:rPr>
      </w:pPr>
      <w:r w:rsidRPr="00B34514">
        <w:rPr>
          <w:rFonts w:ascii="Trebuchet MS" w:hAnsi="Trebuchet MS" w:cstheme="minorHAnsi"/>
          <w:noProof/>
          <w:szCs w:val="22"/>
        </w:rPr>
        <w:t>- Frais de missions pour de la mobilité entrante (frais d’accueil d’invités ou de mobilité pour des rencontres scientifiques, visites de site, invitations de partenaires dans le cadre de la structuration d’un réseau…) </w:t>
      </w:r>
    </w:p>
    <w:p w14:paraId="41DB1F16" w14:textId="77777777" w:rsidR="00501848" w:rsidRPr="00B34514" w:rsidRDefault="00501848" w:rsidP="00501848">
      <w:pPr>
        <w:spacing w:before="60"/>
        <w:jc w:val="both"/>
        <w:rPr>
          <w:rFonts w:ascii="Trebuchet MS" w:hAnsi="Trebuchet MS" w:cstheme="minorHAnsi"/>
          <w:noProof/>
          <w:szCs w:val="22"/>
        </w:rPr>
      </w:pPr>
      <w:r w:rsidRPr="00B34514">
        <w:rPr>
          <w:rFonts w:ascii="Trebuchet MS" w:hAnsi="Trebuchet MS" w:cstheme="minorHAnsi"/>
          <w:noProof/>
          <w:szCs w:val="22"/>
        </w:rPr>
        <w:t>- Frais liés à des publications</w:t>
      </w:r>
    </w:p>
    <w:p w14:paraId="0E44750C" w14:textId="77777777" w:rsidR="00501848" w:rsidRPr="00B34514" w:rsidRDefault="00501848" w:rsidP="00501848">
      <w:pPr>
        <w:spacing w:before="60"/>
        <w:jc w:val="both"/>
        <w:rPr>
          <w:rFonts w:ascii="Trebuchet MS" w:hAnsi="Trebuchet MS" w:cstheme="minorHAnsi"/>
          <w:noProof/>
          <w:szCs w:val="22"/>
        </w:rPr>
      </w:pPr>
      <w:r w:rsidRPr="00B34514">
        <w:rPr>
          <w:rFonts w:ascii="Trebuchet MS" w:hAnsi="Trebuchet MS" w:cstheme="minorHAnsi"/>
          <w:noProof/>
          <w:szCs w:val="22"/>
        </w:rPr>
        <w:t>- Frais liés à de la traduction et de l’interprétariat</w:t>
      </w:r>
    </w:p>
    <w:p w14:paraId="734B0FF8" w14:textId="77777777" w:rsidR="00501848" w:rsidRPr="00B34514" w:rsidRDefault="00501848" w:rsidP="00501848">
      <w:pPr>
        <w:spacing w:before="60"/>
        <w:jc w:val="both"/>
        <w:rPr>
          <w:rFonts w:ascii="Trebuchet MS" w:hAnsi="Trebuchet MS" w:cstheme="minorHAnsi"/>
          <w:noProof/>
          <w:szCs w:val="22"/>
        </w:rPr>
      </w:pPr>
      <w:r w:rsidRPr="00B34514">
        <w:rPr>
          <w:rFonts w:ascii="Trebuchet MS" w:hAnsi="Trebuchet MS" w:cstheme="minorHAnsi"/>
          <w:noProof/>
          <w:szCs w:val="22"/>
        </w:rPr>
        <w:t>- Frais liés au déploiement du projet par des actions de communication : réalisation vidéo, édition…</w:t>
      </w:r>
    </w:p>
    <w:p w14:paraId="21B0894B" w14:textId="77777777" w:rsidR="006A7DDF" w:rsidRPr="00B34514" w:rsidRDefault="006A7DDF" w:rsidP="006A7DDF">
      <w:pPr>
        <w:spacing w:before="60"/>
        <w:jc w:val="both"/>
        <w:rPr>
          <w:rFonts w:ascii="Trebuchet MS" w:hAnsi="Trebuchet MS" w:cstheme="minorHAnsi"/>
          <w:noProof/>
          <w:szCs w:val="22"/>
        </w:rPr>
      </w:pPr>
      <w:r w:rsidRPr="00B34514">
        <w:rPr>
          <w:rFonts w:ascii="Trebuchet MS" w:hAnsi="Trebuchet MS" w:cstheme="minorHAnsi"/>
          <w:noProof/>
          <w:szCs w:val="22"/>
        </w:rPr>
        <w:t>- Auto-entrepreneur ou indépendant extérieurs à AMU si facturation (ex : animateur de colloque…)</w:t>
      </w:r>
    </w:p>
    <w:p w14:paraId="0C8FC0D1" w14:textId="77777777" w:rsidR="006A7DDF" w:rsidRPr="00B34514" w:rsidRDefault="006A7DDF" w:rsidP="00501848">
      <w:pPr>
        <w:spacing w:before="60"/>
        <w:jc w:val="both"/>
        <w:rPr>
          <w:rFonts w:ascii="Trebuchet MS" w:hAnsi="Trebuchet MS" w:cstheme="minorHAnsi"/>
          <w:noProof/>
          <w:szCs w:val="22"/>
        </w:rPr>
      </w:pPr>
      <w:r w:rsidRPr="00B34514">
        <w:rPr>
          <w:rFonts w:ascii="Trebuchet MS" w:hAnsi="Trebuchet MS" w:cstheme="minorHAnsi"/>
          <w:noProof/>
          <w:szCs w:val="22"/>
        </w:rPr>
        <w:t>- Stages étudiants</w:t>
      </w:r>
    </w:p>
    <w:p w14:paraId="01E4B8BE" w14:textId="77777777" w:rsidR="00501848" w:rsidRPr="00B34514" w:rsidRDefault="00501848" w:rsidP="00501848">
      <w:pPr>
        <w:spacing w:line="276" w:lineRule="auto"/>
        <w:jc w:val="both"/>
        <w:rPr>
          <w:rFonts w:ascii="Trebuchet MS" w:hAnsi="Trebuchet MS"/>
        </w:rPr>
      </w:pPr>
      <w:r w:rsidRPr="00B34514">
        <w:rPr>
          <w:rFonts w:ascii="Trebuchet MS" w:hAnsi="Trebuchet MS"/>
        </w:rPr>
        <w:t>Les dépenses relevant de l’équipement informatique (ordinateurs, imprimantes, etc.) et les contributions forfaitaires aux frais de laboratoires ne sont pas éligibles dans le cadre de cet appel à projets.</w:t>
      </w:r>
    </w:p>
    <w:p w14:paraId="3E9007F2" w14:textId="77777777" w:rsidR="00AE36AD" w:rsidRPr="00B34514" w:rsidRDefault="00AE36AD">
      <w:pPr>
        <w:rPr>
          <w:rFonts w:ascii="Trebuchet MS" w:hAnsi="Trebuchet MS"/>
          <w:sz w:val="18"/>
        </w:rPr>
      </w:pPr>
    </w:p>
    <w:sectPr w:rsidR="00AE36AD" w:rsidRPr="00B34514" w:rsidSect="001E401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48"/>
    <w:rsid w:val="001E4018"/>
    <w:rsid w:val="00501848"/>
    <w:rsid w:val="006A7DDF"/>
    <w:rsid w:val="0072385B"/>
    <w:rsid w:val="00AE36AD"/>
    <w:rsid w:val="00B34514"/>
    <w:rsid w:val="00C937BA"/>
    <w:rsid w:val="00D8507E"/>
    <w:rsid w:val="00E520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1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8"/>
    <w:pPr>
      <w:spacing w:after="200" w:line="288" w:lineRule="auto"/>
    </w:pPr>
    <w:rPr>
      <w:rFonts w:eastAsiaTheme="minorEastAsia"/>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8"/>
    <w:pPr>
      <w:spacing w:after="200" w:line="288" w:lineRule="auto"/>
    </w:pPr>
    <w:rPr>
      <w:rFonts w:eastAsiaTheme="minorEastAsia"/>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9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488</Words>
  <Characters>2686</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PASSAVANT GUION Lisa</dc:creator>
  <cp:keywords/>
  <dc:description/>
  <cp:lastModifiedBy>Lise</cp:lastModifiedBy>
  <cp:revision>8</cp:revision>
  <dcterms:created xsi:type="dcterms:W3CDTF">2017-05-03T10:29:00Z</dcterms:created>
  <dcterms:modified xsi:type="dcterms:W3CDTF">2018-04-16T14:12:00Z</dcterms:modified>
</cp:coreProperties>
</file>